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1" w:type="dxa"/>
        <w:tblLook w:val="04A0" w:firstRow="1" w:lastRow="0" w:firstColumn="1" w:lastColumn="0" w:noHBand="0" w:noVBand="1"/>
      </w:tblPr>
      <w:tblGrid>
        <w:gridCol w:w="6634"/>
        <w:gridCol w:w="3777"/>
      </w:tblGrid>
      <w:tr w:rsidR="002F412E" w:rsidRPr="002E3D6F" w14:paraId="6439D930" w14:textId="77777777" w:rsidTr="008E7B03">
        <w:trPr>
          <w:trHeight w:val="1826"/>
        </w:trPr>
        <w:tc>
          <w:tcPr>
            <w:tcW w:w="10411" w:type="dxa"/>
            <w:gridSpan w:val="2"/>
            <w:vAlign w:val="center"/>
          </w:tcPr>
          <w:p w14:paraId="5E933BB5" w14:textId="77777777" w:rsidR="002F412E" w:rsidRPr="006633E4" w:rsidRDefault="002F412E" w:rsidP="008E7B03">
            <w:pPr>
              <w:ind w:right="-41"/>
              <w:rPr>
                <w:rFonts w:cs="Arial"/>
                <w:color w:val="595959" w:themeColor="text1" w:themeTint="A6"/>
                <w:sz w:val="28"/>
                <w:lang w:eastAsia="en-GB"/>
              </w:rPr>
            </w:pPr>
            <w:r w:rsidRPr="006633E4">
              <w:rPr>
                <w:rFonts w:cs="Arial"/>
                <w:noProof/>
                <w:color w:val="595959" w:themeColor="text1" w:themeTint="A6"/>
                <w:sz w:val="28"/>
                <w:lang w:eastAsia="en-ZA"/>
              </w:rPr>
              <mc:AlternateContent>
                <mc:Choice Requires="wps">
                  <w:drawing>
                    <wp:anchor distT="0" distB="0" distL="114300" distR="114300" simplePos="0" relativeHeight="251658240" behindDoc="0" locked="0" layoutInCell="1" allowOverlap="1" wp14:anchorId="2C977EDF" wp14:editId="4AEB0B14">
                      <wp:simplePos x="0" y="0"/>
                      <wp:positionH relativeFrom="column">
                        <wp:posOffset>-46355</wp:posOffset>
                      </wp:positionH>
                      <wp:positionV relativeFrom="paragraph">
                        <wp:posOffset>751205</wp:posOffset>
                      </wp:positionV>
                      <wp:extent cx="6086475" cy="28575"/>
                      <wp:effectExtent l="19050" t="19050" r="9525" b="28575"/>
                      <wp:wrapNone/>
                      <wp:docPr id="19" name="Straight Connector 19"/>
                      <wp:cNvGraphicFramePr/>
                      <a:graphic xmlns:a="http://schemas.openxmlformats.org/drawingml/2006/main">
                        <a:graphicData uri="http://schemas.microsoft.com/office/word/2010/wordprocessingShape">
                          <wps:wsp>
                            <wps:cNvCnPr/>
                            <wps:spPr>
                              <a:xfrm flipH="1" flipV="1">
                                <a:off x="0" y="0"/>
                                <a:ext cx="6086475" cy="28575"/>
                              </a:xfrm>
                              <a:prstGeom prst="line">
                                <a:avLst/>
                              </a:prstGeom>
                              <a:ln w="28575">
                                <a:solidFill>
                                  <a:srgbClr val="0073A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B9E17" id="Straight Connector 19"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59.15pt" to="475.6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" strokecolor="#0073ae" strokeweight="2.25pt"/>
                  </w:pict>
                </mc:Fallback>
              </mc:AlternateContent>
            </w:r>
            <w:r>
              <w:rPr>
                <w:rFonts w:cs="Arial"/>
                <w:color w:val="595959" w:themeColor="text1" w:themeTint="A6"/>
                <w:sz w:val="28"/>
                <w:lang w:eastAsia="en-GB"/>
              </w:rPr>
              <w:t>Data Retention Policy</w:t>
            </w:r>
          </w:p>
          <w:p w14:paraId="51667F98" w14:textId="77777777" w:rsidR="002F412E" w:rsidRPr="002E3D6F" w:rsidRDefault="002F412E" w:rsidP="008E7B03">
            <w:pPr>
              <w:rPr>
                <w:rFonts w:cs="Arial"/>
                <w:szCs w:val="20"/>
              </w:rPr>
            </w:pPr>
          </w:p>
        </w:tc>
      </w:tr>
      <w:tr w:rsidR="002F412E" w:rsidRPr="002E3D6F" w14:paraId="5AE72112" w14:textId="77777777" w:rsidTr="008E7B03">
        <w:trPr>
          <w:trHeight w:val="1123"/>
        </w:trPr>
        <w:tc>
          <w:tcPr>
            <w:tcW w:w="6634" w:type="dxa"/>
          </w:tcPr>
          <w:p w14:paraId="1A4DE0A7" w14:textId="77777777" w:rsidR="002F412E" w:rsidRPr="002E3D6F" w:rsidRDefault="002F412E" w:rsidP="008E7B03">
            <w:pPr>
              <w:rPr>
                <w:rFonts w:cs="Arial"/>
                <w:color w:val="595959" w:themeColor="text1" w:themeTint="A6"/>
                <w:szCs w:val="20"/>
              </w:rPr>
            </w:pPr>
          </w:p>
        </w:tc>
        <w:tc>
          <w:tcPr>
            <w:tcW w:w="3777" w:type="dxa"/>
          </w:tcPr>
          <w:p w14:paraId="38B034D2" w14:textId="77777777" w:rsidR="002F412E" w:rsidRPr="002E3D6F" w:rsidRDefault="002F412E" w:rsidP="008E7B03">
            <w:pPr>
              <w:ind w:left="199"/>
              <w:jc w:val="right"/>
              <w:rPr>
                <w:rFonts w:cs="Arial"/>
                <w:i/>
                <w:color w:val="595959" w:themeColor="text1" w:themeTint="A6"/>
                <w:sz w:val="26"/>
                <w:szCs w:val="20"/>
              </w:rPr>
            </w:pPr>
          </w:p>
        </w:tc>
      </w:tr>
      <w:tr w:rsidR="002F412E" w:rsidRPr="002E3D6F" w14:paraId="41A069FD" w14:textId="77777777" w:rsidTr="008E7B03">
        <w:trPr>
          <w:trHeight w:val="1123"/>
        </w:trPr>
        <w:tc>
          <w:tcPr>
            <w:tcW w:w="6634" w:type="dxa"/>
          </w:tcPr>
          <w:p w14:paraId="03F25FF5" w14:textId="77777777" w:rsidR="002F412E" w:rsidRDefault="002F412E" w:rsidP="008E7B03"/>
          <w:p w14:paraId="39C03611" w14:textId="77777777" w:rsidR="002F412E" w:rsidRPr="002E3D6F" w:rsidRDefault="00000000" w:rsidP="008E7B03">
            <w:pPr>
              <w:rPr>
                <w:rFonts w:cs="Arial"/>
                <w:i/>
              </w:rPr>
            </w:pPr>
            <w:hyperlink r:id="rId10" w:history="1"/>
          </w:p>
        </w:tc>
        <w:tc>
          <w:tcPr>
            <w:tcW w:w="3777" w:type="dxa"/>
          </w:tcPr>
          <w:p w14:paraId="1DE6FDB9" w14:textId="77777777" w:rsidR="002F412E" w:rsidRPr="002E3D6F" w:rsidRDefault="002F412E" w:rsidP="008E7B03">
            <w:pPr>
              <w:ind w:left="199"/>
              <w:jc w:val="right"/>
              <w:rPr>
                <w:rFonts w:cs="Arial"/>
                <w:i/>
                <w:color w:val="595959" w:themeColor="text1" w:themeTint="A6"/>
                <w:sz w:val="26"/>
                <w:szCs w:val="28"/>
              </w:rPr>
            </w:pPr>
          </w:p>
        </w:tc>
      </w:tr>
    </w:tbl>
    <w:p w14:paraId="420EE933" w14:textId="77777777" w:rsidR="002F412E" w:rsidRPr="002E3D6F" w:rsidRDefault="002F412E" w:rsidP="002F412E">
      <w:pPr>
        <w:rPr>
          <w:rFonts w:cs="Arial"/>
          <w:szCs w:val="20"/>
        </w:rPr>
      </w:pPr>
      <w:r w:rsidRPr="002E3D6F">
        <w:rPr>
          <w:rFonts w:cs="Arial"/>
          <w:szCs w:val="20"/>
        </w:rPr>
        <w:br w:type="page"/>
      </w:r>
    </w:p>
    <w:sdt>
      <w:sdtPr>
        <w:rPr>
          <w:rFonts w:asciiTheme="minorHAnsi" w:hAnsiTheme="minorHAnsi" w:cstheme="minorBidi"/>
          <w:b w:val="0"/>
          <w:color w:val="auto"/>
          <w:sz w:val="22"/>
          <w:szCs w:val="22"/>
          <w:lang w:val="en-GB" w:eastAsia="en-US"/>
        </w:rPr>
        <w:id w:val="1784535283"/>
        <w:docPartObj>
          <w:docPartGallery w:val="Table of Contents"/>
          <w:docPartUnique/>
        </w:docPartObj>
      </w:sdtPr>
      <w:sdtEndPr>
        <w:rPr>
          <w:rFonts w:ascii="Arial" w:hAnsi="Arial"/>
          <w:bCs/>
          <w:color w:val="595959" w:themeColor="text1" w:themeTint="A6"/>
          <w:sz w:val="20"/>
          <w:szCs w:val="20"/>
        </w:rPr>
      </w:sdtEndPr>
      <w:sdtContent>
        <w:p w14:paraId="51151EA5" w14:textId="77777777" w:rsidR="002F412E" w:rsidRPr="006633E4" w:rsidRDefault="002F412E" w:rsidP="002F412E">
          <w:pPr>
            <w:pStyle w:val="TOCHeading"/>
            <w:rPr>
              <w:b w:val="0"/>
              <w:lang w:val="en-GB"/>
            </w:rPr>
          </w:pPr>
          <w:r w:rsidRPr="006633E4">
            <w:rPr>
              <w:lang w:val="en-GB"/>
            </w:rPr>
            <w:t>Contents</w:t>
          </w:r>
        </w:p>
        <w:p w14:paraId="324586F8" w14:textId="77777777" w:rsidR="002F412E" w:rsidRDefault="002F412E" w:rsidP="002F412E">
          <w:pPr>
            <w:pStyle w:val="TOC1"/>
            <w:tabs>
              <w:tab w:val="right" w:leader="dot" w:pos="9628"/>
            </w:tabs>
            <w:rPr>
              <w:rFonts w:asciiTheme="minorHAnsi" w:eastAsiaTheme="minorEastAsia" w:hAnsiTheme="minorHAnsi"/>
              <w:noProof/>
              <w:lang w:eastAsia="en-GB"/>
            </w:rPr>
          </w:pPr>
          <w:r w:rsidRPr="006633E4">
            <w:rPr>
              <w:rFonts w:cs="Arial"/>
              <w:color w:val="595959" w:themeColor="text1" w:themeTint="A6"/>
              <w:sz w:val="20"/>
              <w:szCs w:val="20"/>
            </w:rPr>
            <w:fldChar w:fldCharType="begin"/>
          </w:r>
          <w:r w:rsidRPr="006633E4">
            <w:rPr>
              <w:rFonts w:cs="Arial"/>
              <w:color w:val="595959" w:themeColor="text1" w:themeTint="A6"/>
              <w:sz w:val="20"/>
              <w:szCs w:val="20"/>
            </w:rPr>
            <w:instrText xml:space="preserve"> TOC \o "1-3" \h \z \u </w:instrText>
          </w:r>
          <w:r w:rsidRPr="006633E4">
            <w:rPr>
              <w:rFonts w:cs="Arial"/>
              <w:color w:val="595959" w:themeColor="text1" w:themeTint="A6"/>
              <w:sz w:val="20"/>
              <w:szCs w:val="20"/>
            </w:rPr>
            <w:fldChar w:fldCharType="separate"/>
          </w:r>
          <w:hyperlink w:anchor="_Toc504907881" w:history="1">
            <w:r w:rsidRPr="00D14062">
              <w:rPr>
                <w:rStyle w:val="Hyperlink"/>
                <w:noProof/>
              </w:rPr>
              <w:t>1. Scope, Purpose and Users</w:t>
            </w:r>
            <w:r>
              <w:rPr>
                <w:noProof/>
                <w:webHidden/>
              </w:rPr>
              <w:tab/>
            </w:r>
            <w:r>
              <w:rPr>
                <w:noProof/>
                <w:webHidden/>
              </w:rPr>
              <w:fldChar w:fldCharType="begin"/>
            </w:r>
            <w:r>
              <w:rPr>
                <w:noProof/>
                <w:webHidden/>
              </w:rPr>
              <w:instrText xml:space="preserve"> PAGEREF _Toc504907881 \h </w:instrText>
            </w:r>
            <w:r>
              <w:rPr>
                <w:noProof/>
                <w:webHidden/>
              </w:rPr>
            </w:r>
            <w:r>
              <w:rPr>
                <w:noProof/>
                <w:webHidden/>
              </w:rPr>
              <w:fldChar w:fldCharType="separate"/>
            </w:r>
            <w:r>
              <w:rPr>
                <w:noProof/>
                <w:webHidden/>
              </w:rPr>
              <w:t>3</w:t>
            </w:r>
            <w:r>
              <w:rPr>
                <w:noProof/>
                <w:webHidden/>
              </w:rPr>
              <w:fldChar w:fldCharType="end"/>
            </w:r>
          </w:hyperlink>
        </w:p>
        <w:p w14:paraId="3057A891" w14:textId="77777777" w:rsidR="002F412E" w:rsidRDefault="00000000" w:rsidP="002F412E">
          <w:pPr>
            <w:pStyle w:val="TOC1"/>
            <w:tabs>
              <w:tab w:val="right" w:leader="dot" w:pos="9628"/>
            </w:tabs>
            <w:rPr>
              <w:rFonts w:asciiTheme="minorHAnsi" w:eastAsiaTheme="minorEastAsia" w:hAnsiTheme="minorHAnsi"/>
              <w:noProof/>
              <w:lang w:eastAsia="en-GB"/>
            </w:rPr>
          </w:pPr>
          <w:hyperlink w:anchor="_Toc504907882" w:history="1">
            <w:r w:rsidR="002F412E" w:rsidRPr="00D14062">
              <w:rPr>
                <w:rStyle w:val="Hyperlink"/>
                <w:noProof/>
              </w:rPr>
              <w:t>2. Reference Documents</w:t>
            </w:r>
            <w:r w:rsidR="002F412E">
              <w:rPr>
                <w:noProof/>
                <w:webHidden/>
              </w:rPr>
              <w:tab/>
            </w:r>
            <w:r w:rsidR="002F412E">
              <w:rPr>
                <w:noProof/>
                <w:webHidden/>
              </w:rPr>
              <w:fldChar w:fldCharType="begin"/>
            </w:r>
            <w:r w:rsidR="002F412E">
              <w:rPr>
                <w:noProof/>
                <w:webHidden/>
              </w:rPr>
              <w:instrText xml:space="preserve"> PAGEREF _Toc504907882 \h </w:instrText>
            </w:r>
            <w:r w:rsidR="002F412E">
              <w:rPr>
                <w:noProof/>
                <w:webHidden/>
              </w:rPr>
            </w:r>
            <w:r w:rsidR="002F412E">
              <w:rPr>
                <w:noProof/>
                <w:webHidden/>
              </w:rPr>
              <w:fldChar w:fldCharType="separate"/>
            </w:r>
            <w:r w:rsidR="002F412E">
              <w:rPr>
                <w:noProof/>
                <w:webHidden/>
              </w:rPr>
              <w:t>3</w:t>
            </w:r>
            <w:r w:rsidR="002F412E">
              <w:rPr>
                <w:noProof/>
                <w:webHidden/>
              </w:rPr>
              <w:fldChar w:fldCharType="end"/>
            </w:r>
          </w:hyperlink>
        </w:p>
        <w:p w14:paraId="2DEA9FAA" w14:textId="77777777" w:rsidR="002F412E" w:rsidRDefault="00000000" w:rsidP="002F412E">
          <w:pPr>
            <w:pStyle w:val="TOC1"/>
            <w:tabs>
              <w:tab w:val="left" w:pos="442"/>
              <w:tab w:val="right" w:leader="dot" w:pos="9628"/>
            </w:tabs>
            <w:rPr>
              <w:rFonts w:asciiTheme="minorHAnsi" w:eastAsiaTheme="minorEastAsia" w:hAnsiTheme="minorHAnsi"/>
              <w:noProof/>
              <w:lang w:eastAsia="en-GB"/>
            </w:rPr>
          </w:pPr>
          <w:hyperlink w:anchor="_Toc504907883" w:history="1">
            <w:r w:rsidR="002F412E" w:rsidRPr="00D14062">
              <w:rPr>
                <w:rStyle w:val="Hyperlink"/>
                <w:noProof/>
              </w:rPr>
              <w:t>3.</w:t>
            </w:r>
            <w:r w:rsidR="002F412E">
              <w:rPr>
                <w:rFonts w:asciiTheme="minorHAnsi" w:eastAsiaTheme="minorEastAsia" w:hAnsiTheme="minorHAnsi"/>
                <w:noProof/>
                <w:lang w:eastAsia="en-GB"/>
              </w:rPr>
              <w:tab/>
            </w:r>
            <w:r w:rsidR="002F412E" w:rsidRPr="00D14062">
              <w:rPr>
                <w:rStyle w:val="Hyperlink"/>
                <w:noProof/>
              </w:rPr>
              <w:t>Retention Rules</w:t>
            </w:r>
            <w:r w:rsidR="002F412E">
              <w:rPr>
                <w:noProof/>
                <w:webHidden/>
              </w:rPr>
              <w:tab/>
            </w:r>
            <w:r w:rsidR="002F412E">
              <w:rPr>
                <w:noProof/>
                <w:webHidden/>
              </w:rPr>
              <w:fldChar w:fldCharType="begin"/>
            </w:r>
            <w:r w:rsidR="002F412E">
              <w:rPr>
                <w:noProof/>
                <w:webHidden/>
              </w:rPr>
              <w:instrText xml:space="preserve"> PAGEREF _Toc504907883 \h </w:instrText>
            </w:r>
            <w:r w:rsidR="002F412E">
              <w:rPr>
                <w:noProof/>
                <w:webHidden/>
              </w:rPr>
            </w:r>
            <w:r w:rsidR="002F412E">
              <w:rPr>
                <w:noProof/>
                <w:webHidden/>
              </w:rPr>
              <w:fldChar w:fldCharType="separate"/>
            </w:r>
            <w:r w:rsidR="002F412E">
              <w:rPr>
                <w:noProof/>
                <w:webHidden/>
              </w:rPr>
              <w:t>3</w:t>
            </w:r>
            <w:r w:rsidR="002F412E">
              <w:rPr>
                <w:noProof/>
                <w:webHidden/>
              </w:rPr>
              <w:fldChar w:fldCharType="end"/>
            </w:r>
          </w:hyperlink>
        </w:p>
        <w:p w14:paraId="1CFC0032" w14:textId="77777777" w:rsidR="002F412E" w:rsidRDefault="00000000" w:rsidP="002F412E">
          <w:pPr>
            <w:pStyle w:val="TOC2"/>
            <w:tabs>
              <w:tab w:val="right" w:leader="dot" w:pos="9628"/>
            </w:tabs>
            <w:rPr>
              <w:rFonts w:asciiTheme="minorHAnsi" w:eastAsiaTheme="minorEastAsia" w:hAnsiTheme="minorHAnsi"/>
              <w:noProof/>
              <w:lang w:eastAsia="en-GB"/>
            </w:rPr>
          </w:pPr>
          <w:hyperlink w:anchor="_Toc504907884" w:history="1">
            <w:r w:rsidR="002F412E" w:rsidRPr="00D14062">
              <w:rPr>
                <w:rStyle w:val="Hyperlink"/>
                <w:noProof/>
              </w:rPr>
              <w:t>3.1. Retention General Principle</w:t>
            </w:r>
            <w:r w:rsidR="002F412E">
              <w:rPr>
                <w:noProof/>
                <w:webHidden/>
              </w:rPr>
              <w:tab/>
            </w:r>
            <w:r w:rsidR="002F412E">
              <w:rPr>
                <w:noProof/>
                <w:webHidden/>
              </w:rPr>
              <w:fldChar w:fldCharType="begin"/>
            </w:r>
            <w:r w:rsidR="002F412E">
              <w:rPr>
                <w:noProof/>
                <w:webHidden/>
              </w:rPr>
              <w:instrText xml:space="preserve"> PAGEREF _Toc504907884 \h </w:instrText>
            </w:r>
            <w:r w:rsidR="002F412E">
              <w:rPr>
                <w:noProof/>
                <w:webHidden/>
              </w:rPr>
            </w:r>
            <w:r w:rsidR="002F412E">
              <w:rPr>
                <w:noProof/>
                <w:webHidden/>
              </w:rPr>
              <w:fldChar w:fldCharType="separate"/>
            </w:r>
            <w:r w:rsidR="002F412E">
              <w:rPr>
                <w:noProof/>
                <w:webHidden/>
              </w:rPr>
              <w:t>3</w:t>
            </w:r>
            <w:r w:rsidR="002F412E">
              <w:rPr>
                <w:noProof/>
                <w:webHidden/>
              </w:rPr>
              <w:fldChar w:fldCharType="end"/>
            </w:r>
          </w:hyperlink>
        </w:p>
        <w:p w14:paraId="0AA043ED" w14:textId="77777777" w:rsidR="002F412E" w:rsidRDefault="00000000" w:rsidP="002F412E">
          <w:pPr>
            <w:pStyle w:val="TOC2"/>
            <w:tabs>
              <w:tab w:val="right" w:leader="dot" w:pos="9628"/>
            </w:tabs>
            <w:rPr>
              <w:rFonts w:asciiTheme="minorHAnsi" w:eastAsiaTheme="minorEastAsia" w:hAnsiTheme="minorHAnsi"/>
              <w:noProof/>
              <w:lang w:eastAsia="en-GB"/>
            </w:rPr>
          </w:pPr>
          <w:hyperlink w:anchor="_Toc504907885" w:history="1">
            <w:r w:rsidR="002F412E" w:rsidRPr="00D14062">
              <w:rPr>
                <w:rStyle w:val="Hyperlink"/>
                <w:noProof/>
              </w:rPr>
              <w:t>3.2. Retention General Schedule</w:t>
            </w:r>
            <w:r w:rsidR="002F412E">
              <w:rPr>
                <w:noProof/>
                <w:webHidden/>
              </w:rPr>
              <w:tab/>
            </w:r>
            <w:r w:rsidR="002F412E">
              <w:rPr>
                <w:noProof/>
                <w:webHidden/>
              </w:rPr>
              <w:fldChar w:fldCharType="begin"/>
            </w:r>
            <w:r w:rsidR="002F412E">
              <w:rPr>
                <w:noProof/>
                <w:webHidden/>
              </w:rPr>
              <w:instrText xml:space="preserve"> PAGEREF _Toc504907885 \h </w:instrText>
            </w:r>
            <w:r w:rsidR="002F412E">
              <w:rPr>
                <w:noProof/>
                <w:webHidden/>
              </w:rPr>
            </w:r>
            <w:r w:rsidR="002F412E">
              <w:rPr>
                <w:noProof/>
                <w:webHidden/>
              </w:rPr>
              <w:fldChar w:fldCharType="separate"/>
            </w:r>
            <w:r w:rsidR="002F412E">
              <w:rPr>
                <w:noProof/>
                <w:webHidden/>
              </w:rPr>
              <w:t>4</w:t>
            </w:r>
            <w:r w:rsidR="002F412E">
              <w:rPr>
                <w:noProof/>
                <w:webHidden/>
              </w:rPr>
              <w:fldChar w:fldCharType="end"/>
            </w:r>
          </w:hyperlink>
        </w:p>
        <w:p w14:paraId="415A92B2" w14:textId="77777777" w:rsidR="002F412E" w:rsidRDefault="00000000" w:rsidP="002F412E">
          <w:pPr>
            <w:pStyle w:val="TOC2"/>
            <w:tabs>
              <w:tab w:val="right" w:leader="dot" w:pos="9628"/>
            </w:tabs>
            <w:rPr>
              <w:rFonts w:asciiTheme="minorHAnsi" w:eastAsiaTheme="minorEastAsia" w:hAnsiTheme="minorHAnsi"/>
              <w:noProof/>
              <w:lang w:eastAsia="en-GB"/>
            </w:rPr>
          </w:pPr>
          <w:hyperlink w:anchor="_Toc504907886" w:history="1">
            <w:r w:rsidR="002F412E" w:rsidRPr="00D14062">
              <w:rPr>
                <w:rStyle w:val="Hyperlink"/>
                <w:noProof/>
              </w:rPr>
              <w:t>3.3. Safeguarding of Data during Retention Period</w:t>
            </w:r>
            <w:r w:rsidR="002F412E">
              <w:rPr>
                <w:noProof/>
                <w:webHidden/>
              </w:rPr>
              <w:tab/>
            </w:r>
            <w:r w:rsidR="002F412E">
              <w:rPr>
                <w:noProof/>
                <w:webHidden/>
              </w:rPr>
              <w:fldChar w:fldCharType="begin"/>
            </w:r>
            <w:r w:rsidR="002F412E">
              <w:rPr>
                <w:noProof/>
                <w:webHidden/>
              </w:rPr>
              <w:instrText xml:space="preserve"> PAGEREF _Toc504907886 \h </w:instrText>
            </w:r>
            <w:r w:rsidR="002F412E">
              <w:rPr>
                <w:noProof/>
                <w:webHidden/>
              </w:rPr>
            </w:r>
            <w:r w:rsidR="002F412E">
              <w:rPr>
                <w:noProof/>
                <w:webHidden/>
              </w:rPr>
              <w:fldChar w:fldCharType="separate"/>
            </w:r>
            <w:r w:rsidR="002F412E">
              <w:rPr>
                <w:noProof/>
                <w:webHidden/>
              </w:rPr>
              <w:t>4</w:t>
            </w:r>
            <w:r w:rsidR="002F412E">
              <w:rPr>
                <w:noProof/>
                <w:webHidden/>
              </w:rPr>
              <w:fldChar w:fldCharType="end"/>
            </w:r>
          </w:hyperlink>
        </w:p>
        <w:p w14:paraId="4ABA87F6" w14:textId="77777777" w:rsidR="002F412E" w:rsidRDefault="00000000" w:rsidP="002F412E">
          <w:pPr>
            <w:pStyle w:val="TOC2"/>
            <w:tabs>
              <w:tab w:val="left" w:pos="880"/>
              <w:tab w:val="right" w:leader="dot" w:pos="9628"/>
            </w:tabs>
            <w:rPr>
              <w:rFonts w:asciiTheme="minorHAnsi" w:eastAsiaTheme="minorEastAsia" w:hAnsiTheme="minorHAnsi"/>
              <w:noProof/>
              <w:lang w:eastAsia="en-GB"/>
            </w:rPr>
          </w:pPr>
          <w:hyperlink w:anchor="_Toc504907887" w:history="1">
            <w:r w:rsidR="002F412E" w:rsidRPr="00D14062">
              <w:rPr>
                <w:rStyle w:val="Hyperlink"/>
                <w:noProof/>
              </w:rPr>
              <w:t>3.4.</w:t>
            </w:r>
            <w:r w:rsidR="002F412E">
              <w:rPr>
                <w:rFonts w:asciiTheme="minorHAnsi" w:eastAsiaTheme="minorEastAsia" w:hAnsiTheme="minorHAnsi"/>
                <w:noProof/>
                <w:lang w:eastAsia="en-GB"/>
              </w:rPr>
              <w:tab/>
            </w:r>
            <w:r w:rsidR="002F412E" w:rsidRPr="00D14062">
              <w:rPr>
                <w:rStyle w:val="Hyperlink"/>
                <w:noProof/>
              </w:rPr>
              <w:t>Destruction of Data</w:t>
            </w:r>
            <w:r w:rsidR="002F412E">
              <w:rPr>
                <w:noProof/>
                <w:webHidden/>
              </w:rPr>
              <w:tab/>
            </w:r>
            <w:r w:rsidR="002F412E">
              <w:rPr>
                <w:noProof/>
                <w:webHidden/>
              </w:rPr>
              <w:fldChar w:fldCharType="begin"/>
            </w:r>
            <w:r w:rsidR="002F412E">
              <w:rPr>
                <w:noProof/>
                <w:webHidden/>
              </w:rPr>
              <w:instrText xml:space="preserve"> PAGEREF _Toc504907887 \h </w:instrText>
            </w:r>
            <w:r w:rsidR="002F412E">
              <w:rPr>
                <w:noProof/>
                <w:webHidden/>
              </w:rPr>
            </w:r>
            <w:r w:rsidR="002F412E">
              <w:rPr>
                <w:noProof/>
                <w:webHidden/>
              </w:rPr>
              <w:fldChar w:fldCharType="separate"/>
            </w:r>
            <w:r w:rsidR="002F412E">
              <w:rPr>
                <w:noProof/>
                <w:webHidden/>
              </w:rPr>
              <w:t>4</w:t>
            </w:r>
            <w:r w:rsidR="002F412E">
              <w:rPr>
                <w:noProof/>
                <w:webHidden/>
              </w:rPr>
              <w:fldChar w:fldCharType="end"/>
            </w:r>
          </w:hyperlink>
        </w:p>
        <w:p w14:paraId="70FEC547" w14:textId="77777777" w:rsidR="002F412E" w:rsidRDefault="00000000" w:rsidP="002F412E">
          <w:pPr>
            <w:pStyle w:val="TOC2"/>
            <w:tabs>
              <w:tab w:val="left" w:pos="880"/>
              <w:tab w:val="right" w:leader="dot" w:pos="9628"/>
            </w:tabs>
            <w:rPr>
              <w:rFonts w:asciiTheme="minorHAnsi" w:eastAsiaTheme="minorEastAsia" w:hAnsiTheme="minorHAnsi"/>
              <w:noProof/>
              <w:lang w:eastAsia="en-GB"/>
            </w:rPr>
          </w:pPr>
          <w:hyperlink w:anchor="_Toc504907888" w:history="1">
            <w:r w:rsidR="002F412E" w:rsidRPr="00D14062">
              <w:rPr>
                <w:rStyle w:val="Hyperlink"/>
                <w:noProof/>
              </w:rPr>
              <w:t>3.5.</w:t>
            </w:r>
            <w:r w:rsidR="002F412E">
              <w:rPr>
                <w:rFonts w:asciiTheme="minorHAnsi" w:eastAsiaTheme="minorEastAsia" w:hAnsiTheme="minorHAnsi"/>
                <w:noProof/>
                <w:lang w:eastAsia="en-GB"/>
              </w:rPr>
              <w:tab/>
            </w:r>
            <w:r w:rsidR="002F412E" w:rsidRPr="00D14062">
              <w:rPr>
                <w:rStyle w:val="Hyperlink"/>
                <w:noProof/>
              </w:rPr>
              <w:t>Breach, Enforcement and Compliance</w:t>
            </w:r>
            <w:r w:rsidR="002F412E">
              <w:rPr>
                <w:noProof/>
                <w:webHidden/>
              </w:rPr>
              <w:tab/>
            </w:r>
            <w:r w:rsidR="002F412E">
              <w:rPr>
                <w:noProof/>
                <w:webHidden/>
              </w:rPr>
              <w:fldChar w:fldCharType="begin"/>
            </w:r>
            <w:r w:rsidR="002F412E">
              <w:rPr>
                <w:noProof/>
                <w:webHidden/>
              </w:rPr>
              <w:instrText xml:space="preserve"> PAGEREF _Toc504907888 \h </w:instrText>
            </w:r>
            <w:r w:rsidR="002F412E">
              <w:rPr>
                <w:noProof/>
                <w:webHidden/>
              </w:rPr>
            </w:r>
            <w:r w:rsidR="002F412E">
              <w:rPr>
                <w:noProof/>
                <w:webHidden/>
              </w:rPr>
              <w:fldChar w:fldCharType="separate"/>
            </w:r>
            <w:r w:rsidR="002F412E">
              <w:rPr>
                <w:noProof/>
                <w:webHidden/>
              </w:rPr>
              <w:t>5</w:t>
            </w:r>
            <w:r w:rsidR="002F412E">
              <w:rPr>
                <w:noProof/>
                <w:webHidden/>
              </w:rPr>
              <w:fldChar w:fldCharType="end"/>
            </w:r>
          </w:hyperlink>
        </w:p>
        <w:p w14:paraId="78E3179F" w14:textId="77777777" w:rsidR="002F412E" w:rsidRDefault="00000000" w:rsidP="002F412E">
          <w:pPr>
            <w:pStyle w:val="TOC1"/>
            <w:tabs>
              <w:tab w:val="left" w:pos="442"/>
              <w:tab w:val="right" w:leader="dot" w:pos="9628"/>
            </w:tabs>
            <w:rPr>
              <w:rFonts w:asciiTheme="minorHAnsi" w:eastAsiaTheme="minorEastAsia" w:hAnsiTheme="minorHAnsi"/>
              <w:noProof/>
              <w:lang w:eastAsia="en-GB"/>
            </w:rPr>
          </w:pPr>
          <w:hyperlink w:anchor="_Toc504907889" w:history="1">
            <w:r w:rsidR="002F412E" w:rsidRPr="00D14062">
              <w:rPr>
                <w:rStyle w:val="Hyperlink"/>
                <w:noProof/>
              </w:rPr>
              <w:t>4.</w:t>
            </w:r>
            <w:r w:rsidR="002F412E">
              <w:rPr>
                <w:rFonts w:asciiTheme="minorHAnsi" w:eastAsiaTheme="minorEastAsia" w:hAnsiTheme="minorHAnsi"/>
                <w:noProof/>
                <w:lang w:eastAsia="en-GB"/>
              </w:rPr>
              <w:tab/>
            </w:r>
            <w:r w:rsidR="002F412E" w:rsidRPr="00D14062">
              <w:rPr>
                <w:rStyle w:val="Hyperlink"/>
                <w:noProof/>
              </w:rPr>
              <w:t>Document Disposal</w:t>
            </w:r>
            <w:r w:rsidR="002F412E">
              <w:rPr>
                <w:noProof/>
                <w:webHidden/>
              </w:rPr>
              <w:tab/>
            </w:r>
            <w:r w:rsidR="002F412E">
              <w:rPr>
                <w:noProof/>
                <w:webHidden/>
              </w:rPr>
              <w:fldChar w:fldCharType="begin"/>
            </w:r>
            <w:r w:rsidR="002F412E">
              <w:rPr>
                <w:noProof/>
                <w:webHidden/>
              </w:rPr>
              <w:instrText xml:space="preserve"> PAGEREF _Toc504907889 \h </w:instrText>
            </w:r>
            <w:r w:rsidR="002F412E">
              <w:rPr>
                <w:noProof/>
                <w:webHidden/>
              </w:rPr>
            </w:r>
            <w:r w:rsidR="002F412E">
              <w:rPr>
                <w:noProof/>
                <w:webHidden/>
              </w:rPr>
              <w:fldChar w:fldCharType="separate"/>
            </w:r>
            <w:r w:rsidR="002F412E">
              <w:rPr>
                <w:noProof/>
                <w:webHidden/>
              </w:rPr>
              <w:t>5</w:t>
            </w:r>
            <w:r w:rsidR="002F412E">
              <w:rPr>
                <w:noProof/>
                <w:webHidden/>
              </w:rPr>
              <w:fldChar w:fldCharType="end"/>
            </w:r>
          </w:hyperlink>
        </w:p>
        <w:p w14:paraId="3B0E1F14" w14:textId="77777777" w:rsidR="002F412E" w:rsidRDefault="00000000" w:rsidP="002F412E">
          <w:pPr>
            <w:pStyle w:val="TOC2"/>
            <w:tabs>
              <w:tab w:val="left" w:pos="880"/>
              <w:tab w:val="right" w:leader="dot" w:pos="9628"/>
            </w:tabs>
            <w:rPr>
              <w:rFonts w:asciiTheme="minorHAnsi" w:eastAsiaTheme="minorEastAsia" w:hAnsiTheme="minorHAnsi"/>
              <w:noProof/>
              <w:lang w:eastAsia="en-GB"/>
            </w:rPr>
          </w:pPr>
          <w:hyperlink w:anchor="_Toc504907890" w:history="1">
            <w:r w:rsidR="002F412E" w:rsidRPr="00D14062">
              <w:rPr>
                <w:rStyle w:val="Hyperlink"/>
                <w:noProof/>
              </w:rPr>
              <w:t>4.1.</w:t>
            </w:r>
            <w:r w:rsidR="002F412E">
              <w:rPr>
                <w:rFonts w:asciiTheme="minorHAnsi" w:eastAsiaTheme="minorEastAsia" w:hAnsiTheme="minorHAnsi"/>
                <w:noProof/>
                <w:lang w:eastAsia="en-GB"/>
              </w:rPr>
              <w:tab/>
            </w:r>
            <w:r w:rsidR="002F412E" w:rsidRPr="00D14062">
              <w:rPr>
                <w:rStyle w:val="Hyperlink"/>
                <w:noProof/>
              </w:rPr>
              <w:t>Routine Disposal Schedule</w:t>
            </w:r>
            <w:r w:rsidR="002F412E">
              <w:rPr>
                <w:noProof/>
                <w:webHidden/>
              </w:rPr>
              <w:tab/>
            </w:r>
            <w:r w:rsidR="002F412E">
              <w:rPr>
                <w:noProof/>
                <w:webHidden/>
              </w:rPr>
              <w:fldChar w:fldCharType="begin"/>
            </w:r>
            <w:r w:rsidR="002F412E">
              <w:rPr>
                <w:noProof/>
                <w:webHidden/>
              </w:rPr>
              <w:instrText xml:space="preserve"> PAGEREF _Toc504907890 \h </w:instrText>
            </w:r>
            <w:r w:rsidR="002F412E">
              <w:rPr>
                <w:noProof/>
                <w:webHidden/>
              </w:rPr>
            </w:r>
            <w:r w:rsidR="002F412E">
              <w:rPr>
                <w:noProof/>
                <w:webHidden/>
              </w:rPr>
              <w:fldChar w:fldCharType="separate"/>
            </w:r>
            <w:r w:rsidR="002F412E">
              <w:rPr>
                <w:noProof/>
                <w:webHidden/>
              </w:rPr>
              <w:t>5</w:t>
            </w:r>
            <w:r w:rsidR="002F412E">
              <w:rPr>
                <w:noProof/>
                <w:webHidden/>
              </w:rPr>
              <w:fldChar w:fldCharType="end"/>
            </w:r>
          </w:hyperlink>
        </w:p>
        <w:p w14:paraId="27CB26E5" w14:textId="77777777" w:rsidR="002F412E" w:rsidRDefault="00000000" w:rsidP="002F412E">
          <w:pPr>
            <w:pStyle w:val="TOC2"/>
            <w:tabs>
              <w:tab w:val="left" w:pos="880"/>
              <w:tab w:val="right" w:leader="dot" w:pos="9628"/>
            </w:tabs>
            <w:rPr>
              <w:rFonts w:asciiTheme="minorHAnsi" w:eastAsiaTheme="minorEastAsia" w:hAnsiTheme="minorHAnsi"/>
              <w:noProof/>
              <w:lang w:eastAsia="en-GB"/>
            </w:rPr>
          </w:pPr>
          <w:hyperlink w:anchor="_Toc504907891" w:history="1">
            <w:r w:rsidR="002F412E" w:rsidRPr="00D14062">
              <w:rPr>
                <w:rStyle w:val="Hyperlink"/>
                <w:noProof/>
              </w:rPr>
              <w:t>4.2.</w:t>
            </w:r>
            <w:r w:rsidR="002F412E">
              <w:rPr>
                <w:rFonts w:asciiTheme="minorHAnsi" w:eastAsiaTheme="minorEastAsia" w:hAnsiTheme="minorHAnsi"/>
                <w:noProof/>
                <w:lang w:eastAsia="en-GB"/>
              </w:rPr>
              <w:tab/>
            </w:r>
            <w:r w:rsidR="002F412E" w:rsidRPr="00D14062">
              <w:rPr>
                <w:rStyle w:val="Hyperlink"/>
                <w:noProof/>
              </w:rPr>
              <w:t>Destruction Method</w:t>
            </w:r>
            <w:r w:rsidR="002F412E">
              <w:rPr>
                <w:noProof/>
                <w:webHidden/>
              </w:rPr>
              <w:tab/>
            </w:r>
            <w:r w:rsidR="002F412E">
              <w:rPr>
                <w:noProof/>
                <w:webHidden/>
              </w:rPr>
              <w:fldChar w:fldCharType="begin"/>
            </w:r>
            <w:r w:rsidR="002F412E">
              <w:rPr>
                <w:noProof/>
                <w:webHidden/>
              </w:rPr>
              <w:instrText xml:space="preserve"> PAGEREF _Toc504907891 \h </w:instrText>
            </w:r>
            <w:r w:rsidR="002F412E">
              <w:rPr>
                <w:noProof/>
                <w:webHidden/>
              </w:rPr>
            </w:r>
            <w:r w:rsidR="002F412E">
              <w:rPr>
                <w:noProof/>
                <w:webHidden/>
              </w:rPr>
              <w:fldChar w:fldCharType="separate"/>
            </w:r>
            <w:r w:rsidR="002F412E">
              <w:rPr>
                <w:noProof/>
                <w:webHidden/>
              </w:rPr>
              <w:t>6</w:t>
            </w:r>
            <w:r w:rsidR="002F412E">
              <w:rPr>
                <w:noProof/>
                <w:webHidden/>
              </w:rPr>
              <w:fldChar w:fldCharType="end"/>
            </w:r>
          </w:hyperlink>
        </w:p>
        <w:p w14:paraId="379FF6DC" w14:textId="77777777" w:rsidR="002F412E" w:rsidRDefault="00000000" w:rsidP="002F412E">
          <w:pPr>
            <w:pStyle w:val="TOC1"/>
            <w:tabs>
              <w:tab w:val="right" w:leader="dot" w:pos="9628"/>
            </w:tabs>
            <w:rPr>
              <w:rFonts w:asciiTheme="minorHAnsi" w:eastAsiaTheme="minorEastAsia" w:hAnsiTheme="minorHAnsi"/>
              <w:noProof/>
              <w:lang w:eastAsia="en-GB"/>
            </w:rPr>
          </w:pPr>
          <w:hyperlink w:anchor="_Toc504907892" w:history="1">
            <w:r w:rsidR="002F412E" w:rsidRPr="00D14062">
              <w:rPr>
                <w:rStyle w:val="Hyperlink"/>
                <w:noProof/>
              </w:rPr>
              <w:t>5. Managing Records Kept on the Basis of this Document</w:t>
            </w:r>
            <w:r w:rsidR="002F412E">
              <w:rPr>
                <w:noProof/>
                <w:webHidden/>
              </w:rPr>
              <w:tab/>
            </w:r>
            <w:r w:rsidR="002F412E">
              <w:rPr>
                <w:noProof/>
                <w:webHidden/>
              </w:rPr>
              <w:fldChar w:fldCharType="begin"/>
            </w:r>
            <w:r w:rsidR="002F412E">
              <w:rPr>
                <w:noProof/>
                <w:webHidden/>
              </w:rPr>
              <w:instrText xml:space="preserve"> PAGEREF _Toc504907892 \h </w:instrText>
            </w:r>
            <w:r w:rsidR="002F412E">
              <w:rPr>
                <w:noProof/>
                <w:webHidden/>
              </w:rPr>
            </w:r>
            <w:r w:rsidR="002F412E">
              <w:rPr>
                <w:noProof/>
                <w:webHidden/>
              </w:rPr>
              <w:fldChar w:fldCharType="separate"/>
            </w:r>
            <w:r w:rsidR="002F412E">
              <w:rPr>
                <w:noProof/>
                <w:webHidden/>
              </w:rPr>
              <w:t>6</w:t>
            </w:r>
            <w:r w:rsidR="002F412E">
              <w:rPr>
                <w:noProof/>
                <w:webHidden/>
              </w:rPr>
              <w:fldChar w:fldCharType="end"/>
            </w:r>
          </w:hyperlink>
        </w:p>
        <w:p w14:paraId="0ECE1D55" w14:textId="77777777" w:rsidR="002F412E" w:rsidRDefault="00000000" w:rsidP="002F412E">
          <w:pPr>
            <w:pStyle w:val="TOC1"/>
            <w:tabs>
              <w:tab w:val="right" w:leader="dot" w:pos="9628"/>
            </w:tabs>
            <w:rPr>
              <w:rFonts w:asciiTheme="minorHAnsi" w:eastAsiaTheme="minorEastAsia" w:hAnsiTheme="minorHAnsi"/>
              <w:noProof/>
              <w:lang w:eastAsia="en-GB"/>
            </w:rPr>
          </w:pPr>
          <w:hyperlink w:anchor="_Toc504907893" w:history="1">
            <w:r w:rsidR="002F412E" w:rsidRPr="00D14062">
              <w:rPr>
                <w:rStyle w:val="Hyperlink"/>
                <w:noProof/>
              </w:rPr>
              <w:t>6. Validity and document management</w:t>
            </w:r>
            <w:r w:rsidR="002F412E">
              <w:rPr>
                <w:noProof/>
                <w:webHidden/>
              </w:rPr>
              <w:tab/>
            </w:r>
            <w:r w:rsidR="002F412E">
              <w:rPr>
                <w:noProof/>
                <w:webHidden/>
              </w:rPr>
              <w:fldChar w:fldCharType="begin"/>
            </w:r>
            <w:r w:rsidR="002F412E">
              <w:rPr>
                <w:noProof/>
                <w:webHidden/>
              </w:rPr>
              <w:instrText xml:space="preserve"> PAGEREF _Toc504907893 \h </w:instrText>
            </w:r>
            <w:r w:rsidR="002F412E">
              <w:rPr>
                <w:noProof/>
                <w:webHidden/>
              </w:rPr>
            </w:r>
            <w:r w:rsidR="002F412E">
              <w:rPr>
                <w:noProof/>
                <w:webHidden/>
              </w:rPr>
              <w:fldChar w:fldCharType="separate"/>
            </w:r>
            <w:r w:rsidR="002F412E">
              <w:rPr>
                <w:noProof/>
                <w:webHidden/>
              </w:rPr>
              <w:t>6</w:t>
            </w:r>
            <w:r w:rsidR="002F412E">
              <w:rPr>
                <w:noProof/>
                <w:webHidden/>
              </w:rPr>
              <w:fldChar w:fldCharType="end"/>
            </w:r>
          </w:hyperlink>
        </w:p>
        <w:p w14:paraId="1447FD54" w14:textId="77777777" w:rsidR="002F412E" w:rsidRDefault="00000000" w:rsidP="002F412E">
          <w:pPr>
            <w:pStyle w:val="TOC1"/>
            <w:tabs>
              <w:tab w:val="right" w:leader="dot" w:pos="9628"/>
            </w:tabs>
            <w:rPr>
              <w:rFonts w:asciiTheme="minorHAnsi" w:eastAsiaTheme="minorEastAsia" w:hAnsiTheme="minorHAnsi"/>
              <w:noProof/>
              <w:lang w:eastAsia="en-GB"/>
            </w:rPr>
          </w:pPr>
          <w:hyperlink w:anchor="_Toc504907894" w:history="1">
            <w:r w:rsidR="002F412E" w:rsidRPr="00D14062">
              <w:rPr>
                <w:rStyle w:val="Hyperlink"/>
                <w:noProof/>
              </w:rPr>
              <w:t>7. Appendices</w:t>
            </w:r>
            <w:r w:rsidR="002F412E">
              <w:rPr>
                <w:noProof/>
                <w:webHidden/>
              </w:rPr>
              <w:tab/>
            </w:r>
            <w:r w:rsidR="002F412E">
              <w:rPr>
                <w:noProof/>
                <w:webHidden/>
              </w:rPr>
              <w:fldChar w:fldCharType="begin"/>
            </w:r>
            <w:r w:rsidR="002F412E">
              <w:rPr>
                <w:noProof/>
                <w:webHidden/>
              </w:rPr>
              <w:instrText xml:space="preserve"> PAGEREF _Toc504907894 \h </w:instrText>
            </w:r>
            <w:r w:rsidR="002F412E">
              <w:rPr>
                <w:noProof/>
                <w:webHidden/>
              </w:rPr>
            </w:r>
            <w:r w:rsidR="002F412E">
              <w:rPr>
                <w:noProof/>
                <w:webHidden/>
              </w:rPr>
              <w:fldChar w:fldCharType="separate"/>
            </w:r>
            <w:r w:rsidR="002F412E">
              <w:rPr>
                <w:noProof/>
                <w:webHidden/>
              </w:rPr>
              <w:t>7</w:t>
            </w:r>
            <w:r w:rsidR="002F412E">
              <w:rPr>
                <w:noProof/>
                <w:webHidden/>
              </w:rPr>
              <w:fldChar w:fldCharType="end"/>
            </w:r>
          </w:hyperlink>
        </w:p>
        <w:p w14:paraId="28CE42E1" w14:textId="77777777" w:rsidR="002F412E" w:rsidRDefault="00000000" w:rsidP="002F412E">
          <w:pPr>
            <w:pStyle w:val="TOC1"/>
            <w:tabs>
              <w:tab w:val="right" w:leader="dot" w:pos="9628"/>
            </w:tabs>
            <w:rPr>
              <w:rFonts w:asciiTheme="minorHAnsi" w:eastAsiaTheme="minorEastAsia" w:hAnsiTheme="minorHAnsi"/>
              <w:noProof/>
              <w:lang w:eastAsia="en-GB"/>
            </w:rPr>
          </w:pPr>
          <w:hyperlink w:anchor="_Toc504907895" w:history="1">
            <w:r w:rsidR="002F412E" w:rsidRPr="00D14062">
              <w:rPr>
                <w:rStyle w:val="Hyperlink"/>
                <w:noProof/>
              </w:rPr>
              <w:t>8.0 Appendix – Data Retention Schedule</w:t>
            </w:r>
            <w:r w:rsidR="002F412E">
              <w:rPr>
                <w:noProof/>
                <w:webHidden/>
              </w:rPr>
              <w:tab/>
            </w:r>
            <w:r w:rsidR="002F412E">
              <w:rPr>
                <w:noProof/>
                <w:webHidden/>
              </w:rPr>
              <w:fldChar w:fldCharType="begin"/>
            </w:r>
            <w:r w:rsidR="002F412E">
              <w:rPr>
                <w:noProof/>
                <w:webHidden/>
              </w:rPr>
              <w:instrText xml:space="preserve"> PAGEREF _Toc504907895 \h </w:instrText>
            </w:r>
            <w:r w:rsidR="002F412E">
              <w:rPr>
                <w:noProof/>
                <w:webHidden/>
              </w:rPr>
            </w:r>
            <w:r w:rsidR="002F412E">
              <w:rPr>
                <w:noProof/>
                <w:webHidden/>
              </w:rPr>
              <w:fldChar w:fldCharType="separate"/>
            </w:r>
            <w:r w:rsidR="002F412E">
              <w:rPr>
                <w:noProof/>
                <w:webHidden/>
              </w:rPr>
              <w:t>7</w:t>
            </w:r>
            <w:r w:rsidR="002F412E">
              <w:rPr>
                <w:noProof/>
                <w:webHidden/>
              </w:rPr>
              <w:fldChar w:fldCharType="end"/>
            </w:r>
          </w:hyperlink>
        </w:p>
        <w:p w14:paraId="0BE87088" w14:textId="77777777" w:rsidR="002F412E" w:rsidRDefault="00000000" w:rsidP="002F412E">
          <w:pPr>
            <w:pStyle w:val="TOC1"/>
            <w:tabs>
              <w:tab w:val="right" w:leader="dot" w:pos="9628"/>
            </w:tabs>
            <w:rPr>
              <w:rFonts w:asciiTheme="minorHAnsi" w:eastAsiaTheme="minorEastAsia" w:hAnsiTheme="minorHAnsi"/>
              <w:noProof/>
              <w:lang w:eastAsia="en-GB"/>
            </w:rPr>
          </w:pPr>
          <w:hyperlink w:anchor="_Toc504907896" w:history="1">
            <w:r w:rsidR="002F412E" w:rsidRPr="00D14062">
              <w:rPr>
                <w:rStyle w:val="Hyperlink"/>
                <w:noProof/>
              </w:rPr>
              <w:t>9. Revision History</w:t>
            </w:r>
            <w:r w:rsidR="002F412E">
              <w:rPr>
                <w:noProof/>
                <w:webHidden/>
              </w:rPr>
              <w:tab/>
            </w:r>
            <w:r w:rsidR="002F412E">
              <w:rPr>
                <w:noProof/>
                <w:webHidden/>
              </w:rPr>
              <w:fldChar w:fldCharType="begin"/>
            </w:r>
            <w:r w:rsidR="002F412E">
              <w:rPr>
                <w:noProof/>
                <w:webHidden/>
              </w:rPr>
              <w:instrText xml:space="preserve"> PAGEREF _Toc504907896 \h </w:instrText>
            </w:r>
            <w:r w:rsidR="002F412E">
              <w:rPr>
                <w:noProof/>
                <w:webHidden/>
              </w:rPr>
            </w:r>
            <w:r w:rsidR="002F412E">
              <w:rPr>
                <w:noProof/>
                <w:webHidden/>
              </w:rPr>
              <w:fldChar w:fldCharType="separate"/>
            </w:r>
            <w:r w:rsidR="002F412E">
              <w:rPr>
                <w:noProof/>
                <w:webHidden/>
              </w:rPr>
              <w:t>8</w:t>
            </w:r>
            <w:r w:rsidR="002F412E">
              <w:rPr>
                <w:noProof/>
                <w:webHidden/>
              </w:rPr>
              <w:fldChar w:fldCharType="end"/>
            </w:r>
          </w:hyperlink>
        </w:p>
        <w:p w14:paraId="6F31CD1F" w14:textId="77777777" w:rsidR="002F412E" w:rsidRPr="006633E4" w:rsidRDefault="002F412E" w:rsidP="002F412E">
          <w:pPr>
            <w:pStyle w:val="TOC3"/>
            <w:tabs>
              <w:tab w:val="right" w:leader="dot" w:pos="9629"/>
            </w:tabs>
            <w:ind w:left="440"/>
            <w:rPr>
              <w:rFonts w:cs="Arial"/>
              <w:bCs/>
              <w:color w:val="595959" w:themeColor="text1" w:themeTint="A6"/>
              <w:sz w:val="20"/>
              <w:szCs w:val="20"/>
            </w:rPr>
          </w:pPr>
          <w:r w:rsidRPr="006633E4">
            <w:rPr>
              <w:rFonts w:cs="Arial"/>
              <w:color w:val="595959" w:themeColor="text1" w:themeTint="A6"/>
              <w:sz w:val="20"/>
              <w:szCs w:val="20"/>
            </w:rPr>
            <w:fldChar w:fldCharType="end"/>
          </w:r>
        </w:p>
      </w:sdtContent>
    </w:sdt>
    <w:p w14:paraId="6497158C" w14:textId="77777777" w:rsidR="002F412E" w:rsidRPr="002E3D6F" w:rsidRDefault="002F412E" w:rsidP="002F412E">
      <w:pPr>
        <w:rPr>
          <w:rFonts w:cs="Arial"/>
          <w:b/>
          <w:color w:val="0073AE"/>
        </w:rPr>
      </w:pPr>
      <w:r w:rsidRPr="002E3D6F">
        <w:br w:type="page"/>
      </w:r>
    </w:p>
    <w:p w14:paraId="13227C4C" w14:textId="77777777" w:rsidR="002F412E" w:rsidRDefault="002F412E" w:rsidP="002F412E">
      <w:pPr>
        <w:pStyle w:val="Heading1"/>
        <w:ind w:right="-1"/>
        <w:jc w:val="both"/>
      </w:pPr>
      <w:bookmarkStart w:id="0" w:name="_Toc504907881"/>
      <w:r>
        <w:lastRenderedPageBreak/>
        <w:t>1. Scope, Purpose and Users</w:t>
      </w:r>
      <w:bookmarkEnd w:id="0"/>
    </w:p>
    <w:p w14:paraId="2D071A52" w14:textId="59332AA0" w:rsidR="002F412E" w:rsidRDefault="002F412E" w:rsidP="002F412E">
      <w:pPr>
        <w:jc w:val="both"/>
        <w:rPr>
          <w:b/>
        </w:rPr>
      </w:pPr>
      <w:r w:rsidRPr="002A34EE">
        <w:t xml:space="preserve">This policy sets the required retention periods for specified categories of personal data and sets out the minimum standards to be applied when destroying certain information within </w:t>
      </w:r>
      <w:r w:rsidR="000A1794">
        <w:t>Anytime Ventures Group</w:t>
      </w:r>
      <w:r w:rsidR="000A2C3B">
        <w:t xml:space="preserve"> Ltd</w:t>
      </w:r>
      <w:r w:rsidR="000A1794">
        <w:t xml:space="preserve"> &amp; Subsidiary Companies</w:t>
      </w:r>
      <w:r w:rsidRPr="002A34EE">
        <w:t xml:space="preserve"> (further: the “Company”).</w:t>
      </w:r>
    </w:p>
    <w:p w14:paraId="048983CD" w14:textId="77777777" w:rsidR="002F412E" w:rsidRPr="002A34EE" w:rsidRDefault="002F412E" w:rsidP="002F412E">
      <w:pPr>
        <w:jc w:val="both"/>
      </w:pPr>
      <w:r w:rsidRPr="002A34EE">
        <w:t xml:space="preserve">This Policy applies to all business units, processes and systems in all countries in which the Company conducts business and has dealings or other business relationships with third parties. </w:t>
      </w:r>
    </w:p>
    <w:p w14:paraId="2A91F1F1" w14:textId="77777777" w:rsidR="002F412E" w:rsidRDefault="002F412E" w:rsidP="002F412E">
      <w:pPr>
        <w:jc w:val="both"/>
        <w:rPr>
          <w:b/>
        </w:rPr>
      </w:pPr>
      <w:r w:rsidRPr="002A34EE">
        <w:t>This Policy applies to all Company officers, directors, employees, agents, affiliates, contractors, consultants, advisors or service providers that may collect, process, or have access to data (including personal data and / or sensitive personal data).  It is the responsibility of all of the above to familiarise themselves with this Policy and ensure adequate compliance with it.</w:t>
      </w:r>
    </w:p>
    <w:p w14:paraId="3BFB734F" w14:textId="77777777" w:rsidR="002F412E" w:rsidRPr="002A34EE" w:rsidRDefault="002F412E" w:rsidP="002F412E">
      <w:pPr>
        <w:jc w:val="both"/>
      </w:pPr>
      <w:r w:rsidRPr="002A34EE">
        <w:t xml:space="preserve">This policy applies to all information used at the Company. Examples of documents include: </w:t>
      </w:r>
    </w:p>
    <w:p w14:paraId="38835F7D" w14:textId="77777777" w:rsidR="002F412E" w:rsidRPr="00AB640B" w:rsidRDefault="002F412E" w:rsidP="002F412E">
      <w:pPr>
        <w:pStyle w:val="ListParagraph"/>
        <w:numPr>
          <w:ilvl w:val="0"/>
          <w:numId w:val="10"/>
        </w:numPr>
        <w:spacing w:after="120" w:line="276" w:lineRule="auto"/>
        <w:contextualSpacing w:val="0"/>
        <w:rPr>
          <w:rFonts w:cs="Arial"/>
        </w:rPr>
      </w:pPr>
      <w:r w:rsidRPr="00AB640B">
        <w:rPr>
          <w:rFonts w:cs="Arial"/>
        </w:rPr>
        <w:t>Emails</w:t>
      </w:r>
    </w:p>
    <w:p w14:paraId="22F30452" w14:textId="77777777" w:rsidR="002F412E" w:rsidRPr="00AB640B" w:rsidRDefault="002F412E" w:rsidP="002F412E">
      <w:pPr>
        <w:pStyle w:val="ListParagraph"/>
        <w:numPr>
          <w:ilvl w:val="0"/>
          <w:numId w:val="10"/>
        </w:numPr>
        <w:spacing w:after="120" w:line="276" w:lineRule="auto"/>
        <w:contextualSpacing w:val="0"/>
        <w:rPr>
          <w:rFonts w:cs="Arial"/>
        </w:rPr>
      </w:pPr>
      <w:r w:rsidRPr="00AB640B">
        <w:rPr>
          <w:rFonts w:cs="Arial"/>
        </w:rPr>
        <w:t>Hard copy documents</w:t>
      </w:r>
    </w:p>
    <w:p w14:paraId="5FF98352" w14:textId="77777777" w:rsidR="002F412E" w:rsidRPr="00AB640B" w:rsidRDefault="002F412E" w:rsidP="002F412E">
      <w:pPr>
        <w:pStyle w:val="ListParagraph"/>
        <w:numPr>
          <w:ilvl w:val="0"/>
          <w:numId w:val="10"/>
        </w:numPr>
        <w:spacing w:after="120" w:line="276" w:lineRule="auto"/>
        <w:contextualSpacing w:val="0"/>
        <w:rPr>
          <w:rFonts w:cs="Arial"/>
        </w:rPr>
      </w:pPr>
      <w:r w:rsidRPr="00AB640B">
        <w:rPr>
          <w:rFonts w:cs="Arial"/>
        </w:rPr>
        <w:t>Soft copy documents</w:t>
      </w:r>
    </w:p>
    <w:p w14:paraId="022FD036" w14:textId="77777777" w:rsidR="002F412E" w:rsidRPr="00AB640B" w:rsidRDefault="002F412E" w:rsidP="002F412E">
      <w:pPr>
        <w:pStyle w:val="ListParagraph"/>
        <w:numPr>
          <w:ilvl w:val="0"/>
          <w:numId w:val="10"/>
        </w:numPr>
        <w:spacing w:after="120" w:line="276" w:lineRule="auto"/>
        <w:contextualSpacing w:val="0"/>
        <w:rPr>
          <w:rFonts w:cs="Arial"/>
        </w:rPr>
      </w:pPr>
      <w:r w:rsidRPr="00AB640B">
        <w:rPr>
          <w:rFonts w:cs="Arial"/>
        </w:rPr>
        <w:t xml:space="preserve">Video and audio </w:t>
      </w:r>
    </w:p>
    <w:p w14:paraId="7F535EE9" w14:textId="77777777" w:rsidR="002F412E" w:rsidRPr="00AB640B" w:rsidRDefault="002F412E" w:rsidP="002F412E">
      <w:pPr>
        <w:pStyle w:val="ListParagraph"/>
        <w:numPr>
          <w:ilvl w:val="0"/>
          <w:numId w:val="10"/>
        </w:numPr>
        <w:spacing w:after="120" w:line="276" w:lineRule="auto"/>
        <w:contextualSpacing w:val="0"/>
        <w:rPr>
          <w:rFonts w:cs="Arial"/>
        </w:rPr>
      </w:pPr>
      <w:r w:rsidRPr="00AB640B">
        <w:rPr>
          <w:rFonts w:cs="Arial"/>
        </w:rPr>
        <w:t>Data generated by physical access control systems</w:t>
      </w:r>
    </w:p>
    <w:p w14:paraId="3C6D12CC" w14:textId="77777777" w:rsidR="002F412E" w:rsidRPr="002A34EE" w:rsidRDefault="002F412E" w:rsidP="002F412E">
      <w:pPr>
        <w:pStyle w:val="Heading1"/>
        <w:ind w:right="-1"/>
        <w:jc w:val="both"/>
      </w:pPr>
      <w:bookmarkStart w:id="1" w:name="_Toc504907882"/>
      <w:r w:rsidRPr="002A34EE">
        <w:t>2. Reference Documents</w:t>
      </w:r>
      <w:bookmarkEnd w:id="1"/>
    </w:p>
    <w:p w14:paraId="3F76FA25" w14:textId="0FC08C95" w:rsidR="002F412E" w:rsidRPr="00AB640B" w:rsidRDefault="002F412E" w:rsidP="002F412E">
      <w:pPr>
        <w:pStyle w:val="ListParagraph"/>
        <w:numPr>
          <w:ilvl w:val="0"/>
          <w:numId w:val="11"/>
        </w:numPr>
        <w:spacing w:after="120" w:line="276" w:lineRule="auto"/>
        <w:contextualSpacing w:val="0"/>
        <w:jc w:val="both"/>
        <w:rPr>
          <w:rFonts w:cs="Arial"/>
        </w:rPr>
      </w:pPr>
      <w:r w:rsidRPr="00AB640B">
        <w:rPr>
          <w:rFonts w:cs="Arial"/>
        </w:rPr>
        <w:t>EU GDPR 2016/679 (Regulation (EU) 2016/679 of the European Parliament and of the Council of 27 April 2016 on the protection of natural persons with regard to the processing of personal data and on the free movement of such data, and repealing Directive 95/46/EC)</w:t>
      </w:r>
    </w:p>
    <w:p w14:paraId="526735B5" w14:textId="383283BD" w:rsidR="002F412E" w:rsidRPr="00AB640B" w:rsidRDefault="000A2C3B" w:rsidP="002F412E">
      <w:pPr>
        <w:pStyle w:val="ListParagraph"/>
        <w:numPr>
          <w:ilvl w:val="0"/>
          <w:numId w:val="11"/>
        </w:numPr>
        <w:spacing w:after="120" w:line="276" w:lineRule="auto"/>
        <w:contextualSpacing w:val="0"/>
        <w:jc w:val="both"/>
        <w:rPr>
          <w:rFonts w:cs="Arial"/>
        </w:rPr>
      </w:pPr>
      <w:r>
        <w:rPr>
          <w:rFonts w:cs="Arial"/>
        </w:rPr>
        <w:t>Information Commissioners Office</w:t>
      </w:r>
    </w:p>
    <w:p w14:paraId="57A06CB3" w14:textId="77777777" w:rsidR="002F412E" w:rsidRPr="00AB640B" w:rsidRDefault="002F412E" w:rsidP="002F412E">
      <w:pPr>
        <w:pStyle w:val="ListParagraph"/>
        <w:numPr>
          <w:ilvl w:val="0"/>
          <w:numId w:val="11"/>
        </w:numPr>
        <w:spacing w:after="120" w:line="276" w:lineRule="auto"/>
        <w:contextualSpacing w:val="0"/>
        <w:jc w:val="both"/>
        <w:rPr>
          <w:rFonts w:cs="Arial"/>
        </w:rPr>
      </w:pPr>
      <w:r w:rsidRPr="00AB640B">
        <w:rPr>
          <w:rFonts w:cs="Arial"/>
        </w:rPr>
        <w:t>General Personal Data Protection Policy</w:t>
      </w:r>
    </w:p>
    <w:p w14:paraId="4076FBC0" w14:textId="77777777" w:rsidR="002F412E" w:rsidRPr="002A34EE" w:rsidRDefault="002F412E" w:rsidP="002F412E">
      <w:pPr>
        <w:pStyle w:val="Heading1"/>
        <w:ind w:right="-1"/>
        <w:jc w:val="both"/>
      </w:pPr>
      <w:bookmarkStart w:id="2" w:name="_Toc504907883"/>
      <w:r w:rsidRPr="002A34EE">
        <w:t>3.</w:t>
      </w:r>
      <w:r w:rsidRPr="002A34EE">
        <w:tab/>
        <w:t>Retention Rules</w:t>
      </w:r>
      <w:bookmarkEnd w:id="2"/>
    </w:p>
    <w:p w14:paraId="2FA4BDBB" w14:textId="77777777" w:rsidR="002F412E" w:rsidRPr="002A34EE" w:rsidRDefault="002F412E" w:rsidP="002F412E">
      <w:pPr>
        <w:pStyle w:val="Heading2"/>
        <w:ind w:right="-1"/>
        <w:jc w:val="both"/>
      </w:pPr>
      <w:bookmarkStart w:id="3" w:name="_Toc504907884"/>
      <w:r w:rsidRPr="002A34EE">
        <w:t>3.1.</w:t>
      </w:r>
      <w:r>
        <w:t xml:space="preserve"> </w:t>
      </w:r>
      <w:r w:rsidRPr="002A34EE">
        <w:t>Retention General Principle</w:t>
      </w:r>
      <w:bookmarkEnd w:id="3"/>
    </w:p>
    <w:p w14:paraId="5E0F85A0" w14:textId="4C55C4F3" w:rsidR="002F412E" w:rsidRPr="002A34EE" w:rsidRDefault="002F412E" w:rsidP="002F412E">
      <w:pPr>
        <w:jc w:val="both"/>
      </w:pPr>
      <w:r w:rsidRPr="002A34EE">
        <w:t xml:space="preserve">In the event, for any category of document not specifically defined elsewhere in this Policy (and in particular within Annex I) and unless otherwise mandated differently by applicable law, the required retention period for such document will be deemed to be </w:t>
      </w:r>
      <w:r w:rsidR="008E7B03">
        <w:t>5 years</w:t>
      </w:r>
      <w:r w:rsidRPr="002A34EE">
        <w:t xml:space="preserve"> from the date of creation of the document. </w:t>
      </w:r>
    </w:p>
    <w:p w14:paraId="14862B09" w14:textId="77777777" w:rsidR="002F412E" w:rsidRPr="002A34EE" w:rsidRDefault="002F412E" w:rsidP="002F412E">
      <w:pPr>
        <w:pStyle w:val="Heading2"/>
        <w:ind w:right="-1"/>
        <w:jc w:val="both"/>
      </w:pPr>
      <w:bookmarkStart w:id="4" w:name="_Toc504907885"/>
      <w:r w:rsidRPr="002A34EE">
        <w:t>3.2.</w:t>
      </w:r>
      <w:r>
        <w:t xml:space="preserve"> </w:t>
      </w:r>
      <w:r w:rsidRPr="002A34EE">
        <w:t>Retention General Schedule</w:t>
      </w:r>
      <w:bookmarkEnd w:id="4"/>
    </w:p>
    <w:p w14:paraId="7A2DBEEC" w14:textId="77777777" w:rsidR="002F412E" w:rsidRPr="002A34EE" w:rsidRDefault="002F412E" w:rsidP="002F412E">
      <w:r w:rsidRPr="002A34EE">
        <w:t xml:space="preserve">Data Protection Officer defines the time period for which the documents and electronic records should to be retained through the Data Retention Schedule.  </w:t>
      </w:r>
    </w:p>
    <w:p w14:paraId="48026EF3" w14:textId="77777777" w:rsidR="002F412E" w:rsidRPr="00897E59" w:rsidRDefault="002F412E" w:rsidP="002F412E">
      <w:pPr>
        <w:pStyle w:val="ListParagraph"/>
        <w:numPr>
          <w:ilvl w:val="0"/>
          <w:numId w:val="12"/>
        </w:numPr>
        <w:spacing w:after="120" w:line="276" w:lineRule="auto"/>
        <w:contextualSpacing w:val="0"/>
        <w:jc w:val="both"/>
        <w:rPr>
          <w:rFonts w:cs="Arial"/>
        </w:rPr>
      </w:pPr>
      <w:r w:rsidRPr="00897E59">
        <w:rPr>
          <w:rFonts w:cs="Arial"/>
        </w:rPr>
        <w:lastRenderedPageBreak/>
        <w:t>As an exemption, retention periods within Data Retention Schedule can be prolonged in cases such as:</w:t>
      </w:r>
    </w:p>
    <w:p w14:paraId="20674D00" w14:textId="77777777" w:rsidR="002F412E" w:rsidRPr="00897E59" w:rsidRDefault="002F412E" w:rsidP="002F412E">
      <w:pPr>
        <w:pStyle w:val="ListParagraph"/>
        <w:numPr>
          <w:ilvl w:val="0"/>
          <w:numId w:val="12"/>
        </w:numPr>
        <w:spacing w:after="120" w:line="276" w:lineRule="auto"/>
        <w:contextualSpacing w:val="0"/>
        <w:jc w:val="both"/>
        <w:rPr>
          <w:rFonts w:cs="Arial"/>
        </w:rPr>
      </w:pPr>
      <w:r w:rsidRPr="00897E59">
        <w:rPr>
          <w:rFonts w:cs="Arial"/>
        </w:rPr>
        <w:t xml:space="preserve">Ongoing investigations from Member States authorities, if there is a chance records of personal data are needed by the Company to prove compliance with any legal requirements; or </w:t>
      </w:r>
    </w:p>
    <w:p w14:paraId="3601C1FB" w14:textId="77777777" w:rsidR="002F412E" w:rsidRPr="00897E59" w:rsidRDefault="002F412E" w:rsidP="002F412E">
      <w:pPr>
        <w:pStyle w:val="ListParagraph"/>
        <w:numPr>
          <w:ilvl w:val="0"/>
          <w:numId w:val="12"/>
        </w:numPr>
        <w:spacing w:after="120" w:line="276" w:lineRule="auto"/>
        <w:contextualSpacing w:val="0"/>
        <w:jc w:val="both"/>
        <w:rPr>
          <w:rFonts w:cs="Arial"/>
        </w:rPr>
      </w:pPr>
      <w:r w:rsidRPr="00897E59">
        <w:rPr>
          <w:rFonts w:cs="Arial"/>
        </w:rPr>
        <w:t>When exercising legal rights in cases of law suits or similar court proceeding recognized under local law.</w:t>
      </w:r>
    </w:p>
    <w:p w14:paraId="7C7B90DF" w14:textId="77777777" w:rsidR="002F412E" w:rsidRPr="002A34EE" w:rsidRDefault="002F412E" w:rsidP="002F412E">
      <w:pPr>
        <w:pStyle w:val="Heading2"/>
        <w:ind w:right="-1"/>
        <w:jc w:val="both"/>
      </w:pPr>
      <w:bookmarkStart w:id="5" w:name="_Toc504907886"/>
      <w:r w:rsidRPr="002A34EE">
        <w:t>3.3.</w:t>
      </w:r>
      <w:r>
        <w:t xml:space="preserve"> </w:t>
      </w:r>
      <w:r w:rsidRPr="002A34EE">
        <w:t>Safeguarding of Data during Retention Period</w:t>
      </w:r>
      <w:bookmarkEnd w:id="5"/>
    </w:p>
    <w:p w14:paraId="2B71C149" w14:textId="458826C7" w:rsidR="002F412E" w:rsidRPr="002A34EE" w:rsidRDefault="002F412E" w:rsidP="002F412E">
      <w:pPr>
        <w:jc w:val="both"/>
      </w:pPr>
      <w:r w:rsidRPr="002A34EE">
        <w:t xml:space="preserve">The possibility that data media used for archiving will wear out shall be considered. If electronic storage media are chosen, any procedures and systems ensuring that the information can be accessed during the retention period (both with respect to the information carrier and the readability of formats) shall also be stored in order to safeguard the information against loss as a result of future technological changes. The responsibility for the storage falls to </w:t>
      </w:r>
      <w:r w:rsidR="000A2C3B">
        <w:t>VQ Data Compliance Officer.</w:t>
      </w:r>
    </w:p>
    <w:p w14:paraId="4610D42D" w14:textId="77777777" w:rsidR="002F412E" w:rsidRPr="002A34EE" w:rsidRDefault="002F412E" w:rsidP="002F412E">
      <w:pPr>
        <w:pStyle w:val="Heading2"/>
        <w:ind w:right="-1"/>
        <w:jc w:val="both"/>
      </w:pPr>
      <w:bookmarkStart w:id="6" w:name="_Toc504907887"/>
      <w:r w:rsidRPr="002A34EE">
        <w:t>3.4.</w:t>
      </w:r>
      <w:r w:rsidRPr="002A34EE">
        <w:tab/>
        <w:t>Destruction of Data</w:t>
      </w:r>
      <w:bookmarkEnd w:id="6"/>
    </w:p>
    <w:p w14:paraId="0EA8A734" w14:textId="13E85C39" w:rsidR="002F412E" w:rsidRPr="0078524D" w:rsidRDefault="002F412E" w:rsidP="002F412E">
      <w:pPr>
        <w:jc w:val="both"/>
      </w:pPr>
      <w:r w:rsidRPr="002A34EE">
        <w:t xml:space="preserve">The Company and its employees should therefore, on a regular basis, review all data, whether held electronically on their device or on paper, to decide whether to destroy or delete any data once the purpose for which those documents were created is no longer relevant. See Appendix for the retention schedule. Overall responsibility for the destruction of data falls to </w:t>
      </w:r>
      <w:r w:rsidR="000A2C3B">
        <w:t>VQ Data Compliance Officer.</w:t>
      </w:r>
    </w:p>
    <w:p w14:paraId="77233C18" w14:textId="77777777" w:rsidR="002F412E" w:rsidRPr="002A34EE" w:rsidRDefault="002F412E" w:rsidP="002F412E">
      <w:pPr>
        <w:jc w:val="both"/>
      </w:pPr>
      <w:r w:rsidRPr="002A34EE">
        <w:t>Once the decision is made to dispose according to the Retention Schedule, the data should be deleted, shredded or otherwise destroyed to a degree equivalent to their value to others and their level of confidentiality.  The method of disposal varies and is dependent upon the nature of the document.  For example, any documents that contain sensitive or confidential information (and particularly sensitive personal data) must be disposed of as confidential waste and be subject to secure electronic deletion; some expired or superseded contracts may only warrant in-house shredding.  The Document Disposal Schedule section below defines the mode of disposal.</w:t>
      </w:r>
    </w:p>
    <w:p w14:paraId="1DC56C7E" w14:textId="77777777" w:rsidR="002F412E" w:rsidRPr="002A34EE" w:rsidRDefault="002F412E" w:rsidP="002F412E">
      <w:pPr>
        <w:jc w:val="both"/>
      </w:pPr>
      <w:r w:rsidRPr="002A34EE">
        <w:t>In this context, the employee shall perform the tasks and assume the responsibilities relevant for the information destruction in an appropriate way. The specific deletion or destruction process may be carried out either by an employee or by an internal or external service provider that [job title] subcontracts for this purpose.  Any applicable general provisions under relevant data protection laws and the Company’s General Personal Data Protection Policy shall be complied with.</w:t>
      </w:r>
    </w:p>
    <w:p w14:paraId="39DFD658" w14:textId="77777777" w:rsidR="002F412E" w:rsidRPr="002A34EE" w:rsidRDefault="002F412E" w:rsidP="002F412E">
      <w:pPr>
        <w:jc w:val="both"/>
      </w:pPr>
      <w:r w:rsidRPr="002A34EE">
        <w:t xml:space="preserve">Appropriate controls shall be in place that prevent the permanent loss of essential information of the company as a result of malicious or unintentional destruction of information – these controls are described in information security policies. </w:t>
      </w:r>
    </w:p>
    <w:p w14:paraId="5B2ECD20" w14:textId="1FC8CFE7" w:rsidR="002F412E" w:rsidRPr="002A34EE" w:rsidRDefault="000A2C3B" w:rsidP="002F412E">
      <w:pPr>
        <w:jc w:val="both"/>
      </w:pPr>
      <w:r>
        <w:t>VQ Data Compliance Officer</w:t>
      </w:r>
      <w:r w:rsidRPr="002A34EE">
        <w:t xml:space="preserve"> </w:t>
      </w:r>
      <w:r w:rsidR="002F412E" w:rsidRPr="002A34EE">
        <w:t xml:space="preserve">shall fully document and approve the destruction process.  The applicable statutory requirements for the destruction of information, </w:t>
      </w:r>
      <w:r w:rsidR="002F412E" w:rsidRPr="002A34EE">
        <w:lastRenderedPageBreak/>
        <w:t>particularly requirements under applicable data protection laws, shall be fully observed.</w:t>
      </w:r>
    </w:p>
    <w:p w14:paraId="2D8038B1" w14:textId="77777777" w:rsidR="002F412E" w:rsidRPr="002A34EE" w:rsidRDefault="002F412E" w:rsidP="002F412E">
      <w:pPr>
        <w:pStyle w:val="Heading2"/>
        <w:ind w:right="-1"/>
        <w:jc w:val="both"/>
      </w:pPr>
      <w:bookmarkStart w:id="7" w:name="_Toc504907888"/>
      <w:r w:rsidRPr="002A34EE">
        <w:t>3.5.</w:t>
      </w:r>
      <w:r w:rsidRPr="002A34EE">
        <w:tab/>
        <w:t>Breach, Enforcement and Compliance</w:t>
      </w:r>
      <w:bookmarkEnd w:id="7"/>
      <w:r w:rsidRPr="002A34EE">
        <w:t xml:space="preserve"> </w:t>
      </w:r>
    </w:p>
    <w:p w14:paraId="2B0B9FA4" w14:textId="167536D6" w:rsidR="002F412E" w:rsidRPr="002A34EE" w:rsidRDefault="002F412E" w:rsidP="002F412E">
      <w:pPr>
        <w:jc w:val="both"/>
      </w:pPr>
      <w:r w:rsidRPr="002A34EE">
        <w:t>The person appointed with responsibility for Data Protection (</w:t>
      </w:r>
      <w:r w:rsidR="000A2C3B">
        <w:t>VQ Data Compliance Officer</w:t>
      </w:r>
      <w:r w:rsidRPr="002A34EE">
        <w:t xml:space="preserve">) has the responsibility to ensure that each of the Company’s offices complies with this Policy.  It is also the responsibility of the </w:t>
      </w:r>
      <w:r w:rsidR="000A2C3B">
        <w:t>VQ Data Compliance Officer</w:t>
      </w:r>
      <w:r w:rsidR="000A2C3B" w:rsidRPr="002A34EE">
        <w:t xml:space="preserve"> </w:t>
      </w:r>
      <w:r w:rsidRPr="002A34EE">
        <w:t>to assist any local office with enquiries from any local data protection or governmental authority.</w:t>
      </w:r>
    </w:p>
    <w:p w14:paraId="77F81909" w14:textId="77777777" w:rsidR="002F412E" w:rsidRPr="002A34EE" w:rsidRDefault="002F412E" w:rsidP="002F412E">
      <w:pPr>
        <w:jc w:val="both"/>
      </w:pPr>
      <w:r w:rsidRPr="002A34EE">
        <w:t xml:space="preserve">Any suspicion of a breach of this Policy must be reported immediately to [Job title]. All instances of suspected breaches of the Policy shall be investigated and action taken as appropriate. </w:t>
      </w:r>
    </w:p>
    <w:p w14:paraId="03E572E6" w14:textId="77777777" w:rsidR="002F412E" w:rsidRPr="002A34EE" w:rsidRDefault="002F412E" w:rsidP="002F412E">
      <w:pPr>
        <w:jc w:val="both"/>
      </w:pPr>
      <w:r w:rsidRPr="002A34EE">
        <w:t xml:space="preserve">Failure to comply with this Policy may result in adverse consequences, including, but not limited to, loss of customer confidence, litigation and loss of competitive advantage, financial loss and damage to the Company’s reputation, personal injury, harm or loss. Non-compliance with this Policy by permanent, temporary or contract employees, or any third parties, who have been granted access to Company premises or information, may therefore result in disciplinary proceedings or termination of their employment or contract. Such non-compliance may also lead to legal action against the parties involved in such activities. </w:t>
      </w:r>
    </w:p>
    <w:p w14:paraId="14758227" w14:textId="77777777" w:rsidR="002F412E" w:rsidRPr="0078524D" w:rsidRDefault="002F412E" w:rsidP="002F412E">
      <w:pPr>
        <w:pStyle w:val="Heading1"/>
        <w:ind w:right="-1"/>
        <w:jc w:val="both"/>
      </w:pPr>
      <w:bookmarkStart w:id="8" w:name="_Toc504907889"/>
      <w:r w:rsidRPr="0078524D">
        <w:t>4.</w:t>
      </w:r>
      <w:r w:rsidRPr="0078524D">
        <w:tab/>
        <w:t>Document Disposal</w:t>
      </w:r>
      <w:bookmarkEnd w:id="8"/>
      <w:r w:rsidRPr="0078524D">
        <w:t xml:space="preserve"> </w:t>
      </w:r>
    </w:p>
    <w:p w14:paraId="7B0EC62A" w14:textId="77777777" w:rsidR="002F412E" w:rsidRPr="002A34EE" w:rsidRDefault="002F412E" w:rsidP="002F412E">
      <w:pPr>
        <w:pStyle w:val="Heading2"/>
        <w:ind w:right="-1"/>
        <w:jc w:val="both"/>
      </w:pPr>
      <w:bookmarkStart w:id="9" w:name="_Toc504907890"/>
      <w:r w:rsidRPr="002A34EE">
        <w:t>4.1.</w:t>
      </w:r>
      <w:r w:rsidRPr="002A34EE">
        <w:tab/>
        <w:t>Routine Disposal Schedule</w:t>
      </w:r>
      <w:bookmarkEnd w:id="9"/>
    </w:p>
    <w:p w14:paraId="00D53BB6" w14:textId="77777777" w:rsidR="002F412E" w:rsidRPr="002A34EE" w:rsidRDefault="002F412E" w:rsidP="002F412E">
      <w:r w:rsidRPr="002A34EE">
        <w:t xml:space="preserve">Records which may be routinely destroyed unless subject to an on-going legal or regulatory inquiry are as follows: </w:t>
      </w:r>
    </w:p>
    <w:p w14:paraId="0F6071BD" w14:textId="77777777" w:rsidR="002F412E" w:rsidRPr="004464C9" w:rsidRDefault="002F412E" w:rsidP="002F412E">
      <w:pPr>
        <w:pStyle w:val="ListParagraph"/>
        <w:numPr>
          <w:ilvl w:val="0"/>
          <w:numId w:val="13"/>
        </w:numPr>
        <w:spacing w:after="120" w:line="276" w:lineRule="auto"/>
        <w:contextualSpacing w:val="0"/>
        <w:rPr>
          <w:rFonts w:cs="Arial"/>
        </w:rPr>
      </w:pPr>
      <w:r w:rsidRPr="004464C9">
        <w:rPr>
          <w:rFonts w:cs="Arial"/>
        </w:rPr>
        <w:t>Announcements and notices of day-to-day meetings and other events including acceptances and apologies;</w:t>
      </w:r>
    </w:p>
    <w:p w14:paraId="01F8111E" w14:textId="77777777" w:rsidR="002F412E" w:rsidRPr="004464C9" w:rsidRDefault="002F412E" w:rsidP="002F412E">
      <w:pPr>
        <w:pStyle w:val="ListParagraph"/>
        <w:numPr>
          <w:ilvl w:val="0"/>
          <w:numId w:val="13"/>
        </w:numPr>
        <w:spacing w:after="120" w:line="276" w:lineRule="auto"/>
        <w:contextualSpacing w:val="0"/>
        <w:rPr>
          <w:rFonts w:cs="Arial"/>
        </w:rPr>
      </w:pPr>
      <w:r w:rsidRPr="004464C9">
        <w:rPr>
          <w:rFonts w:cs="Arial"/>
        </w:rPr>
        <w:t xml:space="preserve">Requests for ordinary information such as travel directions; </w:t>
      </w:r>
    </w:p>
    <w:p w14:paraId="24B56662" w14:textId="77777777" w:rsidR="002F412E" w:rsidRPr="004464C9" w:rsidRDefault="002F412E" w:rsidP="002F412E">
      <w:pPr>
        <w:pStyle w:val="ListParagraph"/>
        <w:numPr>
          <w:ilvl w:val="0"/>
          <w:numId w:val="13"/>
        </w:numPr>
        <w:spacing w:after="120" w:line="276" w:lineRule="auto"/>
        <w:contextualSpacing w:val="0"/>
        <w:rPr>
          <w:rFonts w:cs="Arial"/>
        </w:rPr>
      </w:pPr>
      <w:r w:rsidRPr="004464C9">
        <w:rPr>
          <w:rFonts w:cs="Arial"/>
        </w:rPr>
        <w:t xml:space="preserve">Reservations for internal meetings without charges / external costs; </w:t>
      </w:r>
    </w:p>
    <w:p w14:paraId="5E257B75" w14:textId="77777777" w:rsidR="002F412E" w:rsidRPr="004464C9" w:rsidRDefault="002F412E" w:rsidP="002F412E">
      <w:pPr>
        <w:pStyle w:val="ListParagraph"/>
        <w:numPr>
          <w:ilvl w:val="0"/>
          <w:numId w:val="13"/>
        </w:numPr>
        <w:spacing w:after="120" w:line="276" w:lineRule="auto"/>
        <w:contextualSpacing w:val="0"/>
        <w:rPr>
          <w:rFonts w:cs="Arial"/>
        </w:rPr>
      </w:pPr>
      <w:r w:rsidRPr="004464C9">
        <w:rPr>
          <w:rFonts w:cs="Arial"/>
        </w:rPr>
        <w:t xml:space="preserve">Transmission documents such as letters, fax cover sheets, e-mail messages, routing slips, compliments slips and similar items that accompany documents but do not add any value; </w:t>
      </w:r>
    </w:p>
    <w:p w14:paraId="5EFE1307" w14:textId="77777777" w:rsidR="002F412E" w:rsidRPr="004464C9" w:rsidRDefault="002F412E" w:rsidP="002F412E">
      <w:pPr>
        <w:pStyle w:val="ListParagraph"/>
        <w:numPr>
          <w:ilvl w:val="0"/>
          <w:numId w:val="13"/>
        </w:numPr>
        <w:spacing w:after="120" w:line="276" w:lineRule="auto"/>
        <w:contextualSpacing w:val="0"/>
        <w:rPr>
          <w:rFonts w:cs="Arial"/>
        </w:rPr>
      </w:pPr>
      <w:r w:rsidRPr="004464C9">
        <w:rPr>
          <w:rFonts w:cs="Arial"/>
        </w:rPr>
        <w:t>Message slips;</w:t>
      </w:r>
    </w:p>
    <w:p w14:paraId="542CDBB1" w14:textId="77777777" w:rsidR="002F412E" w:rsidRPr="004464C9" w:rsidRDefault="002F412E" w:rsidP="002F412E">
      <w:pPr>
        <w:pStyle w:val="ListParagraph"/>
        <w:numPr>
          <w:ilvl w:val="0"/>
          <w:numId w:val="13"/>
        </w:numPr>
        <w:spacing w:after="120" w:line="276" w:lineRule="auto"/>
        <w:contextualSpacing w:val="0"/>
        <w:rPr>
          <w:rFonts w:cs="Arial"/>
        </w:rPr>
      </w:pPr>
      <w:r w:rsidRPr="004464C9">
        <w:rPr>
          <w:rFonts w:cs="Arial"/>
        </w:rPr>
        <w:t xml:space="preserve">Superseded address list, distribution lists etc.; </w:t>
      </w:r>
    </w:p>
    <w:p w14:paraId="57F50192" w14:textId="77777777" w:rsidR="002F412E" w:rsidRPr="004464C9" w:rsidRDefault="002F412E" w:rsidP="002F412E">
      <w:pPr>
        <w:pStyle w:val="ListParagraph"/>
        <w:numPr>
          <w:ilvl w:val="0"/>
          <w:numId w:val="13"/>
        </w:numPr>
        <w:spacing w:after="120" w:line="276" w:lineRule="auto"/>
        <w:contextualSpacing w:val="0"/>
        <w:rPr>
          <w:rFonts w:cs="Arial"/>
        </w:rPr>
      </w:pPr>
      <w:r w:rsidRPr="004464C9">
        <w:rPr>
          <w:rFonts w:cs="Arial"/>
        </w:rPr>
        <w:t xml:space="preserve">Duplicate documents such as CC and FYI copies, unaltered drafts, snapshot printouts or extracts from databases and day files; </w:t>
      </w:r>
    </w:p>
    <w:p w14:paraId="6D4A29EF" w14:textId="77777777" w:rsidR="002F412E" w:rsidRPr="004464C9" w:rsidRDefault="002F412E" w:rsidP="002F412E">
      <w:pPr>
        <w:pStyle w:val="ListParagraph"/>
        <w:numPr>
          <w:ilvl w:val="0"/>
          <w:numId w:val="13"/>
        </w:numPr>
        <w:spacing w:after="120" w:line="276" w:lineRule="auto"/>
        <w:contextualSpacing w:val="0"/>
        <w:rPr>
          <w:rFonts w:cs="Arial"/>
        </w:rPr>
      </w:pPr>
      <w:r w:rsidRPr="004464C9">
        <w:rPr>
          <w:rFonts w:cs="Arial"/>
        </w:rPr>
        <w:t xml:space="preserve">Stock in-house publications which are obsolete or superseded; and </w:t>
      </w:r>
    </w:p>
    <w:p w14:paraId="5137A53E" w14:textId="77777777" w:rsidR="002F412E" w:rsidRPr="004464C9" w:rsidRDefault="002F412E" w:rsidP="002F412E">
      <w:pPr>
        <w:pStyle w:val="ListParagraph"/>
        <w:numPr>
          <w:ilvl w:val="0"/>
          <w:numId w:val="13"/>
        </w:numPr>
        <w:spacing w:after="120" w:line="276" w:lineRule="auto"/>
        <w:contextualSpacing w:val="0"/>
        <w:rPr>
          <w:rFonts w:cs="Arial"/>
        </w:rPr>
      </w:pPr>
      <w:r w:rsidRPr="004464C9">
        <w:rPr>
          <w:rFonts w:cs="Arial"/>
        </w:rPr>
        <w:t xml:space="preserve">Trade magazines, vendor catalogues, flyers and newsletters from vendors or other external organizations. </w:t>
      </w:r>
    </w:p>
    <w:p w14:paraId="5ECB1942" w14:textId="77777777" w:rsidR="002F412E" w:rsidRPr="002A34EE" w:rsidRDefault="002F412E" w:rsidP="002F412E">
      <w:r w:rsidRPr="002A34EE">
        <w:lastRenderedPageBreak/>
        <w:t xml:space="preserve">In all cases, disposal is subject to any disclosure requirements which may exist in the context of litigation. </w:t>
      </w:r>
    </w:p>
    <w:p w14:paraId="3094DBBC" w14:textId="77777777" w:rsidR="002F412E" w:rsidRPr="002A34EE" w:rsidRDefault="002F412E" w:rsidP="002F412E">
      <w:pPr>
        <w:pStyle w:val="Heading2"/>
        <w:ind w:right="-1"/>
        <w:jc w:val="both"/>
      </w:pPr>
      <w:bookmarkStart w:id="10" w:name="_Toc504907891"/>
      <w:r w:rsidRPr="002A34EE">
        <w:t>4.2.</w:t>
      </w:r>
      <w:r w:rsidRPr="002A34EE">
        <w:tab/>
        <w:t>Destruction Method</w:t>
      </w:r>
      <w:bookmarkEnd w:id="10"/>
      <w:r w:rsidRPr="002A34EE">
        <w:t xml:space="preserve"> </w:t>
      </w:r>
    </w:p>
    <w:p w14:paraId="59BE7E35" w14:textId="77777777" w:rsidR="002F412E" w:rsidRDefault="002F412E" w:rsidP="002F412E">
      <w:pPr>
        <w:rPr>
          <w:b/>
        </w:rPr>
      </w:pPr>
      <w:r w:rsidRPr="002A34EE">
        <w:t>Level I documents are those that contain information that is of the highest security and confidentiality and those that include any personal data. These documents shall be disposed of as confidential waste (cross-cut shredded and incinerated) and shall be subject to secure electronic deletion. Disposal of the documents should include proof of destruction.</w:t>
      </w:r>
    </w:p>
    <w:p w14:paraId="7BFC98F5" w14:textId="77777777" w:rsidR="002F412E" w:rsidRPr="002A34EE" w:rsidRDefault="002F412E" w:rsidP="002F412E">
      <w:r w:rsidRPr="002A34EE">
        <w:t xml:space="preserve">Level II documents are proprietary documents that contain confidential information such as parties’ names, signatures and addresses, or which could be used by third parties to commit fraud, but which do not contain any personal data. The documents should be cross-cut shredded and then placed into locked rubbish bins for collection by an approved disposal firm, and electronic documents will be subject to secure electronic deletion. </w:t>
      </w:r>
    </w:p>
    <w:p w14:paraId="2484E9D0" w14:textId="77777777" w:rsidR="002F412E" w:rsidRPr="002A34EE" w:rsidRDefault="002F412E" w:rsidP="002F412E">
      <w:r w:rsidRPr="002A34EE">
        <w:t>Level III documents are those that do not contain any confidential information or personal data and are published Company documents. These should be strip-shredded or disposed of through a recycling company and include, among other things, advertisements, catalogues, flyers, and newsletters. These may be disposed of without an audit trail.</w:t>
      </w:r>
    </w:p>
    <w:p w14:paraId="1A0A9F51" w14:textId="77777777" w:rsidR="002F412E" w:rsidRPr="002A34EE" w:rsidRDefault="002F412E" w:rsidP="002F412E">
      <w:pPr>
        <w:pStyle w:val="Heading1"/>
        <w:ind w:right="-1"/>
        <w:jc w:val="both"/>
      </w:pPr>
      <w:bookmarkStart w:id="11" w:name="_Toc504907892"/>
      <w:r w:rsidRPr="002A34EE">
        <w:t>5.</w:t>
      </w:r>
      <w:r>
        <w:t xml:space="preserve"> </w:t>
      </w:r>
      <w:r w:rsidRPr="002A34EE">
        <w:t>Managing Records Kept on the Basis of this Document</w:t>
      </w:r>
      <w:bookmarkEnd w:id="11"/>
    </w:p>
    <w:tbl>
      <w:tblPr>
        <w:tblW w:w="96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5" w:type="dxa"/>
          <w:bottom w:w="85" w:type="dxa"/>
        </w:tblCellMar>
        <w:tblLook w:val="04A0" w:firstRow="1" w:lastRow="0" w:firstColumn="1" w:lastColumn="0" w:noHBand="0" w:noVBand="1"/>
      </w:tblPr>
      <w:tblGrid>
        <w:gridCol w:w="1891"/>
        <w:gridCol w:w="2014"/>
        <w:gridCol w:w="1911"/>
        <w:gridCol w:w="1905"/>
        <w:gridCol w:w="1918"/>
      </w:tblGrid>
      <w:tr w:rsidR="002F412E" w:rsidRPr="005931C4" w14:paraId="54D54572" w14:textId="77777777" w:rsidTr="008E7B03">
        <w:tc>
          <w:tcPr>
            <w:tcW w:w="1919"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248E963B" w14:textId="77777777" w:rsidR="002F412E" w:rsidRPr="00AB640B" w:rsidRDefault="002F412E" w:rsidP="008E7B03">
            <w:pPr>
              <w:ind w:right="-1"/>
              <w:rPr>
                <w:rFonts w:eastAsia="Calibri" w:cs="Arial"/>
              </w:rPr>
            </w:pPr>
            <w:r w:rsidRPr="00AB640B">
              <w:rPr>
                <w:rFonts w:eastAsia="Calibri" w:cs="Arial"/>
              </w:rPr>
              <w:t>Record name</w:t>
            </w:r>
          </w:p>
        </w:tc>
        <w:tc>
          <w:tcPr>
            <w:tcW w:w="192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0D262AEE" w14:textId="77777777" w:rsidR="002F412E" w:rsidRPr="00AB640B" w:rsidRDefault="002F412E" w:rsidP="008E7B03">
            <w:pPr>
              <w:ind w:right="-1"/>
              <w:rPr>
                <w:rFonts w:eastAsia="Calibri" w:cs="Arial"/>
              </w:rPr>
            </w:pPr>
            <w:r w:rsidRPr="00AB640B">
              <w:rPr>
                <w:rFonts w:eastAsia="Calibri" w:cs="Arial"/>
              </w:rPr>
              <w:t>Storage location</w:t>
            </w:r>
          </w:p>
        </w:tc>
        <w:tc>
          <w:tcPr>
            <w:tcW w:w="192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0C49A99B" w14:textId="77777777" w:rsidR="002F412E" w:rsidRPr="00AB640B" w:rsidRDefault="002F412E" w:rsidP="008E7B03">
            <w:pPr>
              <w:ind w:right="-1"/>
              <w:rPr>
                <w:rFonts w:eastAsia="Calibri" w:cs="Arial"/>
              </w:rPr>
            </w:pPr>
            <w:r w:rsidRPr="00AB640B">
              <w:rPr>
                <w:rFonts w:eastAsia="Calibri" w:cs="Arial"/>
              </w:rPr>
              <w:t>Person responsible for storage</w:t>
            </w:r>
          </w:p>
        </w:tc>
        <w:tc>
          <w:tcPr>
            <w:tcW w:w="192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00FC5B2E" w14:textId="77777777" w:rsidR="002F412E" w:rsidRPr="00AB640B" w:rsidRDefault="002F412E" w:rsidP="008E7B03">
            <w:pPr>
              <w:ind w:right="-1"/>
              <w:rPr>
                <w:rFonts w:eastAsia="Calibri" w:cs="Arial"/>
              </w:rPr>
            </w:pPr>
            <w:r w:rsidRPr="00AB640B">
              <w:rPr>
                <w:rFonts w:eastAsia="Calibri" w:cs="Arial"/>
              </w:rPr>
              <w:t>Controls for record protection</w:t>
            </w:r>
          </w:p>
        </w:tc>
        <w:tc>
          <w:tcPr>
            <w:tcW w:w="192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6C42AC34" w14:textId="77777777" w:rsidR="002F412E" w:rsidRPr="00AB640B" w:rsidRDefault="002F412E" w:rsidP="008E7B03">
            <w:pPr>
              <w:ind w:right="-1"/>
              <w:rPr>
                <w:rFonts w:eastAsia="Calibri" w:cs="Arial"/>
              </w:rPr>
            </w:pPr>
            <w:r w:rsidRPr="00AB640B">
              <w:rPr>
                <w:rFonts w:eastAsia="Calibri" w:cs="Arial"/>
              </w:rPr>
              <w:t>Retention time</w:t>
            </w:r>
          </w:p>
        </w:tc>
      </w:tr>
      <w:tr w:rsidR="002F412E" w:rsidRPr="005931C4" w14:paraId="7E4AE294" w14:textId="77777777" w:rsidTr="008E7B03">
        <w:tc>
          <w:tcPr>
            <w:tcW w:w="19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D603DA" w14:textId="77777777" w:rsidR="002F412E" w:rsidRPr="00AB640B" w:rsidRDefault="002F412E" w:rsidP="008E7B03">
            <w:pPr>
              <w:ind w:right="-1"/>
              <w:rPr>
                <w:rFonts w:eastAsia="Calibri" w:cs="Arial"/>
              </w:rPr>
            </w:pPr>
            <w:r w:rsidRPr="00AB640B">
              <w:rPr>
                <w:rFonts w:eastAsia="Calibri" w:cs="Arial"/>
              </w:rPr>
              <w:t>Data Retention Schedule</w:t>
            </w:r>
          </w:p>
        </w:tc>
        <w:tc>
          <w:tcPr>
            <w:tcW w:w="1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5E8913" w14:textId="709D390A" w:rsidR="002F412E" w:rsidRPr="000A2C3B" w:rsidRDefault="000A2C3B" w:rsidP="008E7B03">
            <w:pPr>
              <w:ind w:right="-1"/>
              <w:rPr>
                <w:rFonts w:eastAsia="Calibri" w:cs="Arial"/>
              </w:rPr>
            </w:pPr>
            <w:r w:rsidRPr="000A2C3B">
              <w:rPr>
                <w:rFonts w:eastAsia="Calibri" w:cs="Arial"/>
              </w:rPr>
              <w:t>VQ/Head office/IT/GDPR</w:t>
            </w:r>
          </w:p>
        </w:tc>
        <w:tc>
          <w:tcPr>
            <w:tcW w:w="1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BD97A9" w14:textId="14E9681B" w:rsidR="002F412E" w:rsidRPr="000A2C3B" w:rsidRDefault="000A2C3B" w:rsidP="008E7B03">
            <w:pPr>
              <w:ind w:right="-1"/>
              <w:rPr>
                <w:rFonts w:eastAsia="Calibri" w:cs="Arial"/>
              </w:rPr>
            </w:pPr>
            <w:r w:rsidRPr="000A2C3B">
              <w:t>VQ Data Compliance Officer</w:t>
            </w:r>
          </w:p>
        </w:tc>
        <w:tc>
          <w:tcPr>
            <w:tcW w:w="1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700EAD" w14:textId="1EA65B0B" w:rsidR="002F412E" w:rsidRPr="000A2C3B" w:rsidRDefault="002F412E" w:rsidP="008E7B03">
            <w:pPr>
              <w:ind w:right="-1"/>
              <w:rPr>
                <w:rFonts w:eastAsia="Calibri" w:cs="Arial"/>
              </w:rPr>
            </w:pPr>
            <w:r w:rsidRPr="000A2C3B">
              <w:rPr>
                <w:rFonts w:eastAsia="Calibri" w:cs="Arial"/>
              </w:rPr>
              <w:t>Only authorized p</w:t>
            </w:r>
            <w:r w:rsidR="000A2C3B" w:rsidRPr="000A2C3B">
              <w:rPr>
                <w:rFonts w:eastAsia="Calibri" w:cs="Arial"/>
              </w:rPr>
              <w:t>ersons may access this document</w:t>
            </w:r>
          </w:p>
        </w:tc>
        <w:tc>
          <w:tcPr>
            <w:tcW w:w="19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EFEC59" w14:textId="77777777" w:rsidR="002F412E" w:rsidRPr="00AB640B" w:rsidRDefault="002F412E" w:rsidP="008E7B03">
            <w:pPr>
              <w:ind w:right="-1"/>
              <w:rPr>
                <w:rFonts w:eastAsia="Calibri" w:cs="Arial"/>
              </w:rPr>
            </w:pPr>
            <w:r w:rsidRPr="00AB640B">
              <w:rPr>
                <w:rFonts w:eastAsia="Calibri" w:cs="Arial"/>
              </w:rPr>
              <w:t>Permanently</w:t>
            </w:r>
          </w:p>
        </w:tc>
      </w:tr>
    </w:tbl>
    <w:p w14:paraId="19E33636" w14:textId="77777777" w:rsidR="002F412E" w:rsidRDefault="002F412E" w:rsidP="002F412E">
      <w:pPr>
        <w:pStyle w:val="Heading1"/>
        <w:ind w:right="-1"/>
        <w:jc w:val="both"/>
        <w:rPr>
          <w:rFonts w:cstheme="minorBidi"/>
          <w:b w:val="0"/>
          <w:color w:val="auto"/>
          <w:sz w:val="22"/>
          <w:szCs w:val="22"/>
        </w:rPr>
      </w:pPr>
    </w:p>
    <w:p w14:paraId="3CA38591" w14:textId="77777777" w:rsidR="002F412E" w:rsidRPr="00AB640B" w:rsidRDefault="002F412E" w:rsidP="002F412E">
      <w:pPr>
        <w:pStyle w:val="Heading1"/>
      </w:pPr>
      <w:bookmarkStart w:id="12" w:name="_Toc504907893"/>
      <w:r w:rsidRPr="00AB640B">
        <w:t>6. Validity and document management</w:t>
      </w:r>
      <w:bookmarkEnd w:id="12"/>
    </w:p>
    <w:p w14:paraId="6847DE3F" w14:textId="3826DBE5" w:rsidR="002F412E" w:rsidRPr="002A34EE" w:rsidRDefault="002F412E" w:rsidP="002F412E">
      <w:pPr>
        <w:jc w:val="both"/>
      </w:pPr>
      <w:r w:rsidRPr="002A34EE">
        <w:t xml:space="preserve">This document is valid as of </w:t>
      </w:r>
      <w:r w:rsidR="000A2C3B">
        <w:t>5</w:t>
      </w:r>
      <w:r w:rsidR="000A2C3B" w:rsidRPr="000A2C3B">
        <w:rPr>
          <w:vertAlign w:val="superscript"/>
        </w:rPr>
        <w:t>th</w:t>
      </w:r>
      <w:r w:rsidR="000A2C3B">
        <w:t xml:space="preserve"> April 2018.</w:t>
      </w:r>
    </w:p>
    <w:p w14:paraId="2825F72C" w14:textId="0731FCC0" w:rsidR="002F412E" w:rsidRPr="002A34EE" w:rsidRDefault="002F412E" w:rsidP="002F412E">
      <w:pPr>
        <w:jc w:val="both"/>
      </w:pPr>
      <w:r w:rsidRPr="002A34EE">
        <w:t xml:space="preserve">The owner of this document is </w:t>
      </w:r>
      <w:r w:rsidR="000A2C3B">
        <w:t>VQ Data Compliance Officer</w:t>
      </w:r>
      <w:r w:rsidR="000A2C3B" w:rsidRPr="002A34EE">
        <w:t xml:space="preserve"> </w:t>
      </w:r>
      <w:r w:rsidRPr="002A34EE">
        <w:t>who must check and, if necessary, update the document at least once a year.</w:t>
      </w:r>
    </w:p>
    <w:p w14:paraId="69A05DAC" w14:textId="381D43F2" w:rsidR="002F412E" w:rsidRPr="00AB640B" w:rsidRDefault="002F412E" w:rsidP="002F412E">
      <w:pPr>
        <w:pStyle w:val="Heading1"/>
      </w:pPr>
    </w:p>
    <w:p w14:paraId="51FD0CFD" w14:textId="718130DC" w:rsidR="002F412E" w:rsidRDefault="002F412E" w:rsidP="002F412E">
      <w:pPr>
        <w:rPr>
          <w:rFonts w:cs="Arial"/>
          <w:b/>
          <w:color w:val="0073AE"/>
          <w:sz w:val="28"/>
        </w:rPr>
      </w:pPr>
    </w:p>
    <w:sectPr w:rsidR="002F412E" w:rsidSect="001C6BE4">
      <w:headerReference w:type="even" r:id="rId11"/>
      <w:headerReference w:type="default" r:id="rId12"/>
      <w:footerReference w:type="even" r:id="rId13"/>
      <w:footerReference w:type="default" r:id="rId14"/>
      <w:headerReference w:type="first" r:id="rId15"/>
      <w:footerReference w:type="first" r:id="rId16"/>
      <w:pgSz w:w="11906" w:h="16838"/>
      <w:pgMar w:top="1985" w:right="851" w:bottom="284" w:left="851" w:header="51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F9FC" w14:textId="77777777" w:rsidR="00701047" w:rsidRDefault="00701047" w:rsidP="00237DB0">
      <w:r>
        <w:separator/>
      </w:r>
    </w:p>
  </w:endnote>
  <w:endnote w:type="continuationSeparator" w:id="0">
    <w:p w14:paraId="739654FB" w14:textId="77777777" w:rsidR="00701047" w:rsidRDefault="00701047" w:rsidP="00237DB0">
      <w:r>
        <w:continuationSeparator/>
      </w:r>
    </w:p>
  </w:endnote>
  <w:endnote w:type="continuationNotice" w:id="1">
    <w:p w14:paraId="6696F5B5" w14:textId="77777777" w:rsidR="00701047" w:rsidRDefault="00701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2D38" w14:textId="77777777" w:rsidR="00197E10" w:rsidRDefault="00197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77B8" w14:textId="77777777" w:rsidR="000A1794" w:rsidRPr="00C67B9B" w:rsidRDefault="000A1794" w:rsidP="000A1794">
    <w:pPr>
      <w:pStyle w:val="Footer"/>
      <w:jc w:val="center"/>
      <w:rPr>
        <w:b/>
        <w:color w:val="808080" w:themeColor="background1" w:themeShade="80"/>
        <w:sz w:val="18"/>
        <w:szCs w:val="18"/>
      </w:rPr>
    </w:pPr>
    <w:r>
      <w:rPr>
        <w:b/>
        <w:color w:val="808080" w:themeColor="background1" w:themeShade="80"/>
        <w:sz w:val="18"/>
        <w:szCs w:val="18"/>
      </w:rPr>
      <w:t>Anytime Ventures Group Limited</w:t>
    </w:r>
    <w:r w:rsidRPr="00C67B9B">
      <w:rPr>
        <w:b/>
        <w:color w:val="808080" w:themeColor="background1" w:themeShade="80"/>
        <w:sz w:val="18"/>
        <w:szCs w:val="18"/>
      </w:rPr>
      <w:t>,</w:t>
    </w:r>
    <w:r>
      <w:rPr>
        <w:b/>
        <w:color w:val="808080" w:themeColor="background1" w:themeShade="80"/>
        <w:sz w:val="18"/>
        <w:szCs w:val="18"/>
      </w:rPr>
      <w:t xml:space="preserve"> 22 Great James Street</w:t>
    </w:r>
    <w:r w:rsidRPr="00C67B9B">
      <w:rPr>
        <w:b/>
        <w:color w:val="808080" w:themeColor="background1" w:themeShade="80"/>
        <w:sz w:val="18"/>
        <w:szCs w:val="18"/>
      </w:rPr>
      <w:t xml:space="preserve">, London </w:t>
    </w:r>
    <w:r>
      <w:rPr>
        <w:b/>
        <w:color w:val="808080" w:themeColor="background1" w:themeShade="80"/>
        <w:sz w:val="18"/>
        <w:szCs w:val="18"/>
      </w:rPr>
      <w:t>WC1N 3ES</w:t>
    </w:r>
    <w:r w:rsidRPr="00C67B9B">
      <w:rPr>
        <w:b/>
        <w:color w:val="808080" w:themeColor="background1" w:themeShade="80"/>
        <w:sz w:val="18"/>
        <w:szCs w:val="18"/>
      </w:rPr>
      <w:t>.</w:t>
    </w:r>
  </w:p>
  <w:p w14:paraId="13A1ACC8" w14:textId="77777777" w:rsidR="000A1794" w:rsidRPr="00C67B9B" w:rsidRDefault="000A1794" w:rsidP="000A1794">
    <w:pPr>
      <w:pStyle w:val="Footer"/>
      <w:jc w:val="center"/>
      <w:rPr>
        <w:color w:val="808080" w:themeColor="background1" w:themeShade="80"/>
        <w:sz w:val="18"/>
        <w:szCs w:val="18"/>
      </w:rPr>
    </w:pPr>
    <w:r w:rsidRPr="00C67B9B">
      <w:rPr>
        <w:b/>
        <w:color w:val="808080" w:themeColor="background1" w:themeShade="80"/>
        <w:sz w:val="18"/>
        <w:szCs w:val="18"/>
      </w:rPr>
      <w:t xml:space="preserve">Registered in England &amp; Wales No. </w:t>
    </w:r>
    <w:r>
      <w:rPr>
        <w:b/>
        <w:color w:val="808080" w:themeColor="background1" w:themeShade="80"/>
        <w:sz w:val="18"/>
        <w:szCs w:val="18"/>
      </w:rPr>
      <w:t>13014308</w:t>
    </w:r>
  </w:p>
  <w:p w14:paraId="5AB114DD" w14:textId="7E7AFACD" w:rsidR="008E7B03" w:rsidRPr="000A1794" w:rsidRDefault="008E7B03" w:rsidP="000A1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D7FB" w14:textId="77777777" w:rsidR="00197E10" w:rsidRDefault="0019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1F18" w14:textId="77777777" w:rsidR="00701047" w:rsidRDefault="00701047" w:rsidP="00237DB0">
      <w:r>
        <w:separator/>
      </w:r>
    </w:p>
  </w:footnote>
  <w:footnote w:type="continuationSeparator" w:id="0">
    <w:p w14:paraId="4D5A1EAE" w14:textId="77777777" w:rsidR="00701047" w:rsidRDefault="00701047" w:rsidP="00237DB0">
      <w:r>
        <w:continuationSeparator/>
      </w:r>
    </w:p>
  </w:footnote>
  <w:footnote w:type="continuationNotice" w:id="1">
    <w:p w14:paraId="6773326F" w14:textId="77777777" w:rsidR="00701047" w:rsidRDefault="00701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0BBC" w14:textId="77777777" w:rsidR="00197E10" w:rsidRDefault="00197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C206" w14:textId="51A5EB3C" w:rsidR="008E7B03" w:rsidRDefault="00197E10" w:rsidP="00197E10">
    <w:pPr>
      <w:pStyle w:val="Header"/>
      <w:jc w:val="center"/>
    </w:pPr>
    <w:r>
      <w:rPr>
        <w:noProof/>
      </w:rPr>
      <w:drawing>
        <wp:inline distT="0" distB="0" distL="0" distR="0" wp14:anchorId="653E44B8" wp14:editId="20DF4493">
          <wp:extent cx="1809233" cy="1123950"/>
          <wp:effectExtent l="0" t="0" r="635" b="0"/>
          <wp:docPr id="1621005391" name="Picture 1" descr="A logo with a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05391" name="Picture 1" descr="A logo with a let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575" cy="1126026"/>
                  </a:xfrm>
                  <a:prstGeom prst="rect">
                    <a:avLst/>
                  </a:prstGeom>
                  <a:noFill/>
                </pic:spPr>
              </pic:pic>
            </a:graphicData>
          </a:graphic>
        </wp:inline>
      </w:drawing>
    </w:r>
  </w:p>
  <w:p w14:paraId="1B9A7EFE" w14:textId="729B7A0B" w:rsidR="008E7B03" w:rsidRPr="00237DB0" w:rsidRDefault="008E7B03" w:rsidP="001731D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A918" w14:textId="77777777" w:rsidR="00197E10" w:rsidRDefault="00197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88F"/>
    <w:multiLevelType w:val="hybridMultilevel"/>
    <w:tmpl w:val="63AE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2358A"/>
    <w:multiLevelType w:val="multilevel"/>
    <w:tmpl w:val="690EBB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C72A07"/>
    <w:multiLevelType w:val="hybridMultilevel"/>
    <w:tmpl w:val="0C162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8B798C"/>
    <w:multiLevelType w:val="hybridMultilevel"/>
    <w:tmpl w:val="5FB41894"/>
    <w:lvl w:ilvl="0" w:tplc="9C4A5A7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24AD7"/>
    <w:multiLevelType w:val="hybridMultilevel"/>
    <w:tmpl w:val="E1BC7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E8560D"/>
    <w:multiLevelType w:val="hybridMultilevel"/>
    <w:tmpl w:val="FD40129C"/>
    <w:lvl w:ilvl="0" w:tplc="9C4A5A7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43B1F"/>
    <w:multiLevelType w:val="multilevel"/>
    <w:tmpl w:val="A16E8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CE2832"/>
    <w:multiLevelType w:val="hybridMultilevel"/>
    <w:tmpl w:val="774E821E"/>
    <w:lvl w:ilvl="0" w:tplc="9C4A5A7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27BC3"/>
    <w:multiLevelType w:val="hybridMultilevel"/>
    <w:tmpl w:val="6D28289E"/>
    <w:lvl w:ilvl="0" w:tplc="9C4A5A7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1342C"/>
    <w:multiLevelType w:val="hybridMultilevel"/>
    <w:tmpl w:val="5BE61B54"/>
    <w:lvl w:ilvl="0" w:tplc="0424571A">
      <w:start w:val="1"/>
      <w:numFmt w:val="bullet"/>
      <w:lvlText w:val=""/>
      <w:lvlJc w:val="left"/>
      <w:pPr>
        <w:ind w:left="720" w:hanging="360"/>
      </w:pPr>
      <w:rPr>
        <w:rFonts w:ascii="Symbol" w:hAnsi="Symbol" w:hint="default"/>
        <w:caps w:val="0"/>
        <w:strike w:val="0"/>
        <w:dstrike w:val="0"/>
        <w:vanish w:val="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36D8F"/>
    <w:multiLevelType w:val="hybridMultilevel"/>
    <w:tmpl w:val="CDEEBA50"/>
    <w:lvl w:ilvl="0" w:tplc="9C4A5A7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837ADF"/>
    <w:multiLevelType w:val="hybridMultilevel"/>
    <w:tmpl w:val="0BE4AD4C"/>
    <w:lvl w:ilvl="0" w:tplc="7B3C125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274FBC"/>
    <w:multiLevelType w:val="hybridMultilevel"/>
    <w:tmpl w:val="38325B08"/>
    <w:lvl w:ilvl="0" w:tplc="0424571A">
      <w:start w:val="1"/>
      <w:numFmt w:val="bullet"/>
      <w:lvlText w:val=""/>
      <w:lvlJc w:val="left"/>
      <w:pPr>
        <w:ind w:left="720" w:hanging="360"/>
      </w:pPr>
      <w:rPr>
        <w:rFonts w:ascii="Symbol" w:hAnsi="Symbol" w:hint="default"/>
        <w:caps w:val="0"/>
        <w:strike w:val="0"/>
        <w:dstrike w:val="0"/>
        <w:vanish w:val="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41B56"/>
    <w:multiLevelType w:val="hybridMultilevel"/>
    <w:tmpl w:val="C08E8370"/>
    <w:lvl w:ilvl="0" w:tplc="FD427046">
      <w:start w:val="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57927">
    <w:abstractNumId w:val="0"/>
  </w:num>
  <w:num w:numId="2" w16cid:durableId="620577043">
    <w:abstractNumId w:val="4"/>
  </w:num>
  <w:num w:numId="3" w16cid:durableId="459692696">
    <w:abstractNumId w:val="11"/>
  </w:num>
  <w:num w:numId="4" w16cid:durableId="2053188600">
    <w:abstractNumId w:val="2"/>
  </w:num>
  <w:num w:numId="5" w16cid:durableId="284389319">
    <w:abstractNumId w:val="12"/>
  </w:num>
  <w:num w:numId="6" w16cid:durableId="228615890">
    <w:abstractNumId w:val="9"/>
  </w:num>
  <w:num w:numId="7" w16cid:durableId="1809589351">
    <w:abstractNumId w:val="13"/>
  </w:num>
  <w:num w:numId="8" w16cid:durableId="19405274">
    <w:abstractNumId w:val="1"/>
  </w:num>
  <w:num w:numId="9" w16cid:durableId="1568955098">
    <w:abstractNumId w:val="6"/>
  </w:num>
  <w:num w:numId="10" w16cid:durableId="1549796974">
    <w:abstractNumId w:val="8"/>
  </w:num>
  <w:num w:numId="11" w16cid:durableId="382868390">
    <w:abstractNumId w:val="7"/>
  </w:num>
  <w:num w:numId="12" w16cid:durableId="1144347055">
    <w:abstractNumId w:val="10"/>
  </w:num>
  <w:num w:numId="13" w16cid:durableId="414327496">
    <w:abstractNumId w:val="5"/>
  </w:num>
  <w:num w:numId="14" w16cid:durableId="7106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B0"/>
    <w:rsid w:val="00057A48"/>
    <w:rsid w:val="000A1794"/>
    <w:rsid w:val="000A2C3B"/>
    <w:rsid w:val="000A4F69"/>
    <w:rsid w:val="000A711E"/>
    <w:rsid w:val="000B7A6E"/>
    <w:rsid w:val="0012419E"/>
    <w:rsid w:val="001507AA"/>
    <w:rsid w:val="00165F9E"/>
    <w:rsid w:val="00171704"/>
    <w:rsid w:val="001731D8"/>
    <w:rsid w:val="00197E10"/>
    <w:rsid w:val="001C6BE4"/>
    <w:rsid w:val="001D608B"/>
    <w:rsid w:val="00203E1E"/>
    <w:rsid w:val="002264F7"/>
    <w:rsid w:val="00231289"/>
    <w:rsid w:val="00237DB0"/>
    <w:rsid w:val="00272340"/>
    <w:rsid w:val="002A6920"/>
    <w:rsid w:val="002F412E"/>
    <w:rsid w:val="003069C5"/>
    <w:rsid w:val="003323A7"/>
    <w:rsid w:val="003365FC"/>
    <w:rsid w:val="00362C9F"/>
    <w:rsid w:val="00363FDD"/>
    <w:rsid w:val="00365733"/>
    <w:rsid w:val="003D5C40"/>
    <w:rsid w:val="003F6AF9"/>
    <w:rsid w:val="004451BF"/>
    <w:rsid w:val="004A7C0F"/>
    <w:rsid w:val="004D26DF"/>
    <w:rsid w:val="004D331F"/>
    <w:rsid w:val="005045E0"/>
    <w:rsid w:val="00505C20"/>
    <w:rsid w:val="005156E6"/>
    <w:rsid w:val="00515DF5"/>
    <w:rsid w:val="0057270B"/>
    <w:rsid w:val="005B3FB9"/>
    <w:rsid w:val="005C5965"/>
    <w:rsid w:val="005E0256"/>
    <w:rsid w:val="005E3D68"/>
    <w:rsid w:val="00610BB8"/>
    <w:rsid w:val="00631A5B"/>
    <w:rsid w:val="00636EAB"/>
    <w:rsid w:val="006D1E08"/>
    <w:rsid w:val="00701047"/>
    <w:rsid w:val="00745AB4"/>
    <w:rsid w:val="00761852"/>
    <w:rsid w:val="007A313C"/>
    <w:rsid w:val="007E49A6"/>
    <w:rsid w:val="007E6CA7"/>
    <w:rsid w:val="008604B3"/>
    <w:rsid w:val="008815A6"/>
    <w:rsid w:val="00890C79"/>
    <w:rsid w:val="008B0288"/>
    <w:rsid w:val="008B2CC6"/>
    <w:rsid w:val="008B3ABB"/>
    <w:rsid w:val="008E7B03"/>
    <w:rsid w:val="008F590A"/>
    <w:rsid w:val="00902449"/>
    <w:rsid w:val="00907F2D"/>
    <w:rsid w:val="00917AF9"/>
    <w:rsid w:val="009663A9"/>
    <w:rsid w:val="0099389A"/>
    <w:rsid w:val="009A3723"/>
    <w:rsid w:val="009C5A50"/>
    <w:rsid w:val="00A011E4"/>
    <w:rsid w:val="00A37B21"/>
    <w:rsid w:val="00A574C7"/>
    <w:rsid w:val="00AD3C30"/>
    <w:rsid w:val="00B33330"/>
    <w:rsid w:val="00B34DEB"/>
    <w:rsid w:val="00B406C1"/>
    <w:rsid w:val="00B56D79"/>
    <w:rsid w:val="00B62D42"/>
    <w:rsid w:val="00BD2C7C"/>
    <w:rsid w:val="00BF1230"/>
    <w:rsid w:val="00BF1ACE"/>
    <w:rsid w:val="00C2163C"/>
    <w:rsid w:val="00C24E53"/>
    <w:rsid w:val="00C51C1E"/>
    <w:rsid w:val="00C60742"/>
    <w:rsid w:val="00C67B9B"/>
    <w:rsid w:val="00C9377A"/>
    <w:rsid w:val="00CC79FD"/>
    <w:rsid w:val="00CD09E9"/>
    <w:rsid w:val="00D4709A"/>
    <w:rsid w:val="00D61A1A"/>
    <w:rsid w:val="00DC1EE6"/>
    <w:rsid w:val="00DD113C"/>
    <w:rsid w:val="00E13098"/>
    <w:rsid w:val="00E51B82"/>
    <w:rsid w:val="00E63E05"/>
    <w:rsid w:val="00E8128E"/>
    <w:rsid w:val="00EC17DC"/>
    <w:rsid w:val="00EE77DD"/>
    <w:rsid w:val="00F175B6"/>
    <w:rsid w:val="00F3012B"/>
    <w:rsid w:val="00F75642"/>
    <w:rsid w:val="00F900A7"/>
    <w:rsid w:val="00FD05FE"/>
    <w:rsid w:val="00FE3A11"/>
    <w:rsid w:val="00FF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150A"/>
  <w15:docId w15:val="{2DEC58E5-C10D-416A-BF44-C637D6C2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82"/>
    <w:pPr>
      <w:spacing w:after="0" w:line="240" w:lineRule="auto"/>
    </w:pPr>
    <w:rPr>
      <w:rFonts w:ascii="Verdana" w:eastAsia="Times New Roman" w:hAnsi="Verdana" w:cs="Times New Roman"/>
      <w:sz w:val="24"/>
      <w:szCs w:val="24"/>
    </w:rPr>
  </w:style>
  <w:style w:type="paragraph" w:styleId="Heading1">
    <w:name w:val="heading 1"/>
    <w:basedOn w:val="Normal"/>
    <w:next w:val="Normal"/>
    <w:link w:val="Heading1Char"/>
    <w:uiPriority w:val="9"/>
    <w:qFormat/>
    <w:rsid w:val="001C6BE4"/>
    <w:pPr>
      <w:autoSpaceDE w:val="0"/>
      <w:autoSpaceDN w:val="0"/>
      <w:adjustRightInd w:val="0"/>
      <w:spacing w:line="288" w:lineRule="auto"/>
      <w:ind w:right="709"/>
      <w:outlineLvl w:val="0"/>
    </w:pPr>
    <w:rPr>
      <w:rFonts w:ascii="Arial" w:eastAsiaTheme="minorHAnsi" w:hAnsi="Arial" w:cs="Arial"/>
      <w:b/>
      <w:color w:val="0073AE"/>
      <w:sz w:val="28"/>
    </w:rPr>
  </w:style>
  <w:style w:type="paragraph" w:styleId="Heading2">
    <w:name w:val="heading 2"/>
    <w:basedOn w:val="Normal"/>
    <w:next w:val="Normal"/>
    <w:link w:val="Heading2Char"/>
    <w:uiPriority w:val="9"/>
    <w:unhideWhenUsed/>
    <w:qFormat/>
    <w:rsid w:val="001C6BE4"/>
    <w:pPr>
      <w:keepNext/>
      <w:keepLines/>
      <w:spacing w:before="200" w:line="276" w:lineRule="auto"/>
      <w:outlineLvl w:val="1"/>
    </w:pPr>
    <w:rPr>
      <w:rFonts w:ascii="Arial" w:eastAsiaTheme="majorEastAsia" w:hAnsi="Arial" w:cstheme="majorBidi"/>
      <w:b/>
      <w:bCs/>
      <w:color w:val="1675A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DB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7DB0"/>
  </w:style>
  <w:style w:type="paragraph" w:styleId="Footer">
    <w:name w:val="footer"/>
    <w:basedOn w:val="Normal"/>
    <w:link w:val="FooterChar"/>
    <w:uiPriority w:val="99"/>
    <w:unhideWhenUsed/>
    <w:rsid w:val="00237DB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7DB0"/>
  </w:style>
  <w:style w:type="paragraph" w:styleId="BalloonText">
    <w:name w:val="Balloon Text"/>
    <w:basedOn w:val="Normal"/>
    <w:link w:val="BalloonTextChar"/>
    <w:uiPriority w:val="99"/>
    <w:semiHidden/>
    <w:unhideWhenUsed/>
    <w:rsid w:val="00237DB0"/>
    <w:rPr>
      <w:rFonts w:ascii="Tahoma" w:hAnsi="Tahoma" w:cs="Tahoma"/>
      <w:sz w:val="16"/>
      <w:szCs w:val="16"/>
    </w:rPr>
  </w:style>
  <w:style w:type="character" w:customStyle="1" w:styleId="BalloonTextChar">
    <w:name w:val="Balloon Text Char"/>
    <w:basedOn w:val="DefaultParagraphFont"/>
    <w:link w:val="BalloonText"/>
    <w:uiPriority w:val="99"/>
    <w:semiHidden/>
    <w:rsid w:val="00237DB0"/>
    <w:rPr>
      <w:rFonts w:ascii="Tahoma" w:hAnsi="Tahoma" w:cs="Tahoma"/>
      <w:sz w:val="16"/>
      <w:szCs w:val="16"/>
    </w:rPr>
  </w:style>
  <w:style w:type="character" w:styleId="Hyperlink">
    <w:name w:val="Hyperlink"/>
    <w:basedOn w:val="DefaultParagraphFont"/>
    <w:uiPriority w:val="99"/>
    <w:unhideWhenUsed/>
    <w:rsid w:val="00237DB0"/>
    <w:rPr>
      <w:color w:val="0000FF" w:themeColor="hyperlink"/>
      <w:u w:val="single"/>
    </w:rPr>
  </w:style>
  <w:style w:type="paragraph" w:styleId="ListParagraph">
    <w:name w:val="List Paragraph"/>
    <w:basedOn w:val="Normal"/>
    <w:uiPriority w:val="34"/>
    <w:qFormat/>
    <w:rsid w:val="009663A9"/>
    <w:pPr>
      <w:ind w:left="720"/>
      <w:contextualSpacing/>
    </w:pPr>
  </w:style>
  <w:style w:type="paragraph" w:customStyle="1" w:styleId="BodyTextMargin">
    <w:name w:val="Body Text Margin"/>
    <w:basedOn w:val="Normal"/>
    <w:rsid w:val="003D5C40"/>
    <w:pPr>
      <w:spacing w:after="240" w:line="360" w:lineRule="auto"/>
      <w:jc w:val="both"/>
    </w:pPr>
    <w:rPr>
      <w:rFonts w:ascii="Times New Roman" w:hAnsi="Times New Roman"/>
      <w:bCs/>
    </w:rPr>
  </w:style>
  <w:style w:type="character" w:customStyle="1" w:styleId="Heading1Char">
    <w:name w:val="Heading 1 Char"/>
    <w:basedOn w:val="DefaultParagraphFont"/>
    <w:link w:val="Heading1"/>
    <w:uiPriority w:val="9"/>
    <w:rsid w:val="001C6BE4"/>
    <w:rPr>
      <w:rFonts w:ascii="Arial" w:hAnsi="Arial" w:cs="Arial"/>
      <w:b/>
      <w:color w:val="0073AE"/>
      <w:sz w:val="28"/>
      <w:szCs w:val="24"/>
    </w:rPr>
  </w:style>
  <w:style w:type="character" w:customStyle="1" w:styleId="Heading2Char">
    <w:name w:val="Heading 2 Char"/>
    <w:basedOn w:val="DefaultParagraphFont"/>
    <w:link w:val="Heading2"/>
    <w:uiPriority w:val="9"/>
    <w:rsid w:val="001C6BE4"/>
    <w:rPr>
      <w:rFonts w:ascii="Arial" w:eastAsiaTheme="majorEastAsia" w:hAnsi="Arial" w:cstheme="majorBidi"/>
      <w:b/>
      <w:bCs/>
      <w:color w:val="1675AA"/>
      <w:sz w:val="24"/>
      <w:szCs w:val="26"/>
    </w:rPr>
  </w:style>
  <w:style w:type="paragraph" w:styleId="TOCHeading">
    <w:name w:val="TOC Heading"/>
    <w:basedOn w:val="Heading1"/>
    <w:next w:val="Normal"/>
    <w:uiPriority w:val="39"/>
    <w:unhideWhenUsed/>
    <w:qFormat/>
    <w:rsid w:val="001C6BE4"/>
    <w:pPr>
      <w:outlineLvl w:val="9"/>
    </w:pPr>
    <w:rPr>
      <w:lang w:val="en-US" w:eastAsia="ja-JP"/>
    </w:rPr>
  </w:style>
  <w:style w:type="paragraph" w:styleId="TOC1">
    <w:name w:val="toc 1"/>
    <w:basedOn w:val="Normal"/>
    <w:next w:val="Normal"/>
    <w:autoRedefine/>
    <w:uiPriority w:val="39"/>
    <w:unhideWhenUsed/>
    <w:rsid w:val="001C6BE4"/>
    <w:pPr>
      <w:spacing w:after="100" w:line="276" w:lineRule="auto"/>
    </w:pPr>
    <w:rPr>
      <w:rFonts w:ascii="Arial" w:eastAsiaTheme="minorHAnsi" w:hAnsi="Arial" w:cstheme="minorBidi"/>
      <w:sz w:val="22"/>
      <w:szCs w:val="22"/>
    </w:rPr>
  </w:style>
  <w:style w:type="paragraph" w:styleId="TOC2">
    <w:name w:val="toc 2"/>
    <w:basedOn w:val="Normal"/>
    <w:next w:val="Normal"/>
    <w:autoRedefine/>
    <w:uiPriority w:val="39"/>
    <w:unhideWhenUsed/>
    <w:rsid w:val="001C6BE4"/>
    <w:pPr>
      <w:spacing w:after="100" w:line="276" w:lineRule="auto"/>
      <w:ind w:left="220"/>
    </w:pPr>
    <w:rPr>
      <w:rFonts w:ascii="Arial" w:eastAsiaTheme="minorHAnsi" w:hAnsi="Arial" w:cstheme="minorBidi"/>
      <w:sz w:val="22"/>
      <w:szCs w:val="22"/>
    </w:rPr>
  </w:style>
  <w:style w:type="paragraph" w:styleId="TOC3">
    <w:name w:val="toc 3"/>
    <w:basedOn w:val="Normal"/>
    <w:next w:val="Normal"/>
    <w:autoRedefine/>
    <w:uiPriority w:val="39"/>
    <w:unhideWhenUsed/>
    <w:rsid w:val="001C6BE4"/>
    <w:pPr>
      <w:spacing w:after="80" w:line="276" w:lineRule="auto"/>
      <w:ind w:left="442"/>
    </w:pPr>
    <w:rPr>
      <w:rFonts w:ascii="Arial" w:eastAsiaTheme="minorHAnsi" w:hAnsi="Arial" w:cstheme="minorBidi"/>
      <w:sz w:val="22"/>
      <w:szCs w:val="22"/>
    </w:rPr>
  </w:style>
  <w:style w:type="paragraph" w:styleId="BodyText">
    <w:name w:val="Body Text"/>
    <w:basedOn w:val="Normal"/>
    <w:next w:val="Normal"/>
    <w:link w:val="BodyTextChar"/>
    <w:uiPriority w:val="1"/>
    <w:qFormat/>
    <w:rsid w:val="001C6BE4"/>
    <w:pPr>
      <w:widowControl w:val="0"/>
      <w:ind w:left="1428"/>
    </w:pPr>
    <w:rPr>
      <w:rFonts w:ascii="Arial" w:eastAsia="Arial" w:hAnsi="Arial" w:cstheme="minorBidi"/>
      <w:sz w:val="22"/>
      <w:szCs w:val="18"/>
      <w:lang w:val="en-US"/>
    </w:rPr>
  </w:style>
  <w:style w:type="character" w:customStyle="1" w:styleId="BodyTextChar">
    <w:name w:val="Body Text Char"/>
    <w:basedOn w:val="DefaultParagraphFont"/>
    <w:link w:val="BodyText"/>
    <w:uiPriority w:val="1"/>
    <w:rsid w:val="001C6BE4"/>
    <w:rPr>
      <w:rFonts w:ascii="Arial" w:eastAsia="Arial" w:hAnsi="Arial"/>
      <w:szCs w:val="18"/>
      <w:lang w:val="en-US"/>
    </w:rPr>
  </w:style>
  <w:style w:type="table" w:styleId="TableGrid">
    <w:name w:val="Table Grid"/>
    <w:basedOn w:val="TableNormal"/>
    <w:uiPriority w:val="59"/>
    <w:rsid w:val="0086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666">
      <w:bodyDiv w:val="1"/>
      <w:marLeft w:val="0"/>
      <w:marRight w:val="0"/>
      <w:marTop w:val="0"/>
      <w:marBottom w:val="0"/>
      <w:divBdr>
        <w:top w:val="none" w:sz="0" w:space="0" w:color="auto"/>
        <w:left w:val="none" w:sz="0" w:space="0" w:color="auto"/>
        <w:bottom w:val="none" w:sz="0" w:space="0" w:color="auto"/>
        <w:right w:val="none" w:sz="0" w:space="0" w:color="auto"/>
      </w:divBdr>
      <w:divsChild>
        <w:div w:id="219557651">
          <w:marLeft w:val="0"/>
          <w:marRight w:val="0"/>
          <w:marTop w:val="0"/>
          <w:marBottom w:val="0"/>
          <w:divBdr>
            <w:top w:val="none" w:sz="0" w:space="0" w:color="auto"/>
            <w:left w:val="none" w:sz="0" w:space="0" w:color="auto"/>
            <w:bottom w:val="none" w:sz="0" w:space="0" w:color="auto"/>
            <w:right w:val="none" w:sz="0" w:space="0" w:color="auto"/>
          </w:divBdr>
        </w:div>
        <w:div w:id="336546049">
          <w:marLeft w:val="0"/>
          <w:marRight w:val="0"/>
          <w:marTop w:val="0"/>
          <w:marBottom w:val="0"/>
          <w:divBdr>
            <w:top w:val="none" w:sz="0" w:space="0" w:color="auto"/>
            <w:left w:val="none" w:sz="0" w:space="0" w:color="auto"/>
            <w:bottom w:val="none" w:sz="0" w:space="0" w:color="auto"/>
            <w:right w:val="none" w:sz="0" w:space="0" w:color="auto"/>
          </w:divBdr>
        </w:div>
        <w:div w:id="1182553941">
          <w:marLeft w:val="0"/>
          <w:marRight w:val="0"/>
          <w:marTop w:val="0"/>
          <w:marBottom w:val="0"/>
          <w:divBdr>
            <w:top w:val="none" w:sz="0" w:space="0" w:color="auto"/>
            <w:left w:val="none" w:sz="0" w:space="0" w:color="auto"/>
            <w:bottom w:val="none" w:sz="0" w:space="0" w:color="auto"/>
            <w:right w:val="none" w:sz="0" w:space="0" w:color="auto"/>
          </w:divBdr>
        </w:div>
        <w:div w:id="2109933657">
          <w:marLeft w:val="0"/>
          <w:marRight w:val="0"/>
          <w:marTop w:val="0"/>
          <w:marBottom w:val="0"/>
          <w:divBdr>
            <w:top w:val="none" w:sz="0" w:space="0" w:color="auto"/>
            <w:left w:val="none" w:sz="0" w:space="0" w:color="auto"/>
            <w:bottom w:val="none" w:sz="0" w:space="0" w:color="auto"/>
            <w:right w:val="none" w:sz="0" w:space="0" w:color="auto"/>
          </w:divBdr>
        </w:div>
        <w:div w:id="1038161315">
          <w:marLeft w:val="0"/>
          <w:marRight w:val="0"/>
          <w:marTop w:val="0"/>
          <w:marBottom w:val="0"/>
          <w:divBdr>
            <w:top w:val="none" w:sz="0" w:space="0" w:color="auto"/>
            <w:left w:val="none" w:sz="0" w:space="0" w:color="auto"/>
            <w:bottom w:val="none" w:sz="0" w:space="0" w:color="auto"/>
            <w:right w:val="none" w:sz="0" w:space="0" w:color="auto"/>
          </w:divBdr>
        </w:div>
        <w:div w:id="166527082">
          <w:marLeft w:val="0"/>
          <w:marRight w:val="0"/>
          <w:marTop w:val="0"/>
          <w:marBottom w:val="0"/>
          <w:divBdr>
            <w:top w:val="none" w:sz="0" w:space="0" w:color="auto"/>
            <w:left w:val="none" w:sz="0" w:space="0" w:color="auto"/>
            <w:bottom w:val="none" w:sz="0" w:space="0" w:color="auto"/>
            <w:right w:val="none" w:sz="0" w:space="0" w:color="auto"/>
          </w:divBdr>
        </w:div>
        <w:div w:id="1946646104">
          <w:marLeft w:val="0"/>
          <w:marRight w:val="0"/>
          <w:marTop w:val="0"/>
          <w:marBottom w:val="0"/>
          <w:divBdr>
            <w:top w:val="none" w:sz="0" w:space="0" w:color="auto"/>
            <w:left w:val="none" w:sz="0" w:space="0" w:color="auto"/>
            <w:bottom w:val="none" w:sz="0" w:space="0" w:color="auto"/>
            <w:right w:val="none" w:sz="0" w:space="0" w:color="auto"/>
          </w:divBdr>
        </w:div>
        <w:div w:id="1085885260">
          <w:marLeft w:val="0"/>
          <w:marRight w:val="0"/>
          <w:marTop w:val="0"/>
          <w:marBottom w:val="0"/>
          <w:divBdr>
            <w:top w:val="none" w:sz="0" w:space="0" w:color="auto"/>
            <w:left w:val="none" w:sz="0" w:space="0" w:color="auto"/>
            <w:bottom w:val="none" w:sz="0" w:space="0" w:color="auto"/>
            <w:right w:val="none" w:sz="0" w:space="0" w:color="auto"/>
          </w:divBdr>
        </w:div>
        <w:div w:id="1064912549">
          <w:marLeft w:val="0"/>
          <w:marRight w:val="0"/>
          <w:marTop w:val="0"/>
          <w:marBottom w:val="0"/>
          <w:divBdr>
            <w:top w:val="none" w:sz="0" w:space="0" w:color="auto"/>
            <w:left w:val="none" w:sz="0" w:space="0" w:color="auto"/>
            <w:bottom w:val="none" w:sz="0" w:space="0" w:color="auto"/>
            <w:right w:val="none" w:sz="0" w:space="0" w:color="auto"/>
          </w:divBdr>
        </w:div>
        <w:div w:id="1373388359">
          <w:marLeft w:val="0"/>
          <w:marRight w:val="0"/>
          <w:marTop w:val="0"/>
          <w:marBottom w:val="0"/>
          <w:divBdr>
            <w:top w:val="none" w:sz="0" w:space="0" w:color="auto"/>
            <w:left w:val="none" w:sz="0" w:space="0" w:color="auto"/>
            <w:bottom w:val="none" w:sz="0" w:space="0" w:color="auto"/>
            <w:right w:val="none" w:sz="0" w:space="0" w:color="auto"/>
          </w:divBdr>
        </w:div>
        <w:div w:id="1024088644">
          <w:marLeft w:val="0"/>
          <w:marRight w:val="0"/>
          <w:marTop w:val="0"/>
          <w:marBottom w:val="0"/>
          <w:divBdr>
            <w:top w:val="none" w:sz="0" w:space="0" w:color="auto"/>
            <w:left w:val="none" w:sz="0" w:space="0" w:color="auto"/>
            <w:bottom w:val="none" w:sz="0" w:space="0" w:color="auto"/>
            <w:right w:val="none" w:sz="0" w:space="0" w:color="auto"/>
          </w:divBdr>
        </w:div>
        <w:div w:id="2116515636">
          <w:marLeft w:val="0"/>
          <w:marRight w:val="0"/>
          <w:marTop w:val="0"/>
          <w:marBottom w:val="0"/>
          <w:divBdr>
            <w:top w:val="none" w:sz="0" w:space="0" w:color="auto"/>
            <w:left w:val="none" w:sz="0" w:space="0" w:color="auto"/>
            <w:bottom w:val="none" w:sz="0" w:space="0" w:color="auto"/>
            <w:right w:val="none" w:sz="0" w:space="0" w:color="auto"/>
          </w:divBdr>
        </w:div>
      </w:divsChild>
    </w:div>
    <w:div w:id="14631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techgatepl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9F0B210789741A391DBE803707137" ma:contentTypeVersion="16" ma:contentTypeDescription="Create a new document." ma:contentTypeScope="" ma:versionID="6f557effbf5b6ec4ba954c5e351d640b">
  <xsd:schema xmlns:xsd="http://www.w3.org/2001/XMLSchema" xmlns:xs="http://www.w3.org/2001/XMLSchema" xmlns:p="http://schemas.microsoft.com/office/2006/metadata/properties" xmlns:ns2="500e5deb-a1ea-4d85-8469-a9fb3a81c007" xmlns:ns3="43d62aa8-8005-4593-9a11-8c23a738b3a1" targetNamespace="http://schemas.microsoft.com/office/2006/metadata/properties" ma:root="true" ma:fieldsID="38eec37e82735c60b8fa1c7a589f9799" ns2:_="" ns3:_="">
    <xsd:import namespace="500e5deb-a1ea-4d85-8469-a9fb3a81c007"/>
    <xsd:import namespace="43d62aa8-8005-4593-9a11-8c23a738b3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e5deb-a1ea-4d85-8469-a9fb3a81c0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eebdb1-681b-47f8-a814-ecc58da4f9a0}" ma:internalName="TaxCatchAll" ma:showField="CatchAllData" ma:web="500e5deb-a1ea-4d85-8469-a9fb3a81c0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d62aa8-8005-4593-9a11-8c23a738b3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1633a7-96e2-44b0-8efb-fe49a49020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0e5deb-a1ea-4d85-8469-a9fb3a81c007" xsi:nil="true"/>
    <lcf76f155ced4ddcb4097134ff3c332f xmlns="43d62aa8-8005-4593-9a11-8c23a738b3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5A867B-1034-4481-8DA8-BEEBD0F398BF}">
  <ds:schemaRefs>
    <ds:schemaRef ds:uri="http://schemas.microsoft.com/sharepoint/v3/contenttype/forms"/>
  </ds:schemaRefs>
</ds:datastoreItem>
</file>

<file path=customXml/itemProps2.xml><?xml version="1.0" encoding="utf-8"?>
<ds:datastoreItem xmlns:ds="http://schemas.openxmlformats.org/officeDocument/2006/customXml" ds:itemID="{944B2109-A021-4788-90D4-E8446ADB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e5deb-a1ea-4d85-8469-a9fb3a81c007"/>
    <ds:schemaRef ds:uri="43d62aa8-8005-4593-9a11-8c23a738b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69C0A-842B-41FF-869D-5F15E65FAB4E}">
  <ds:schemaRefs>
    <ds:schemaRef ds:uri="http://schemas.microsoft.com/office/2006/metadata/properties"/>
    <ds:schemaRef ds:uri="http://schemas.microsoft.com/office/infopath/2007/PartnerControls"/>
    <ds:schemaRef ds:uri="500e5deb-a1ea-4d85-8469-a9fb3a81c007"/>
    <ds:schemaRef ds:uri="43d62aa8-8005-4593-9a11-8c23a738b3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VQ Backoffice</dc:creator>
  <cp:lastModifiedBy>Simon Prideaux</cp:lastModifiedBy>
  <cp:revision>8</cp:revision>
  <cp:lastPrinted>2018-02-27T10:15:00Z</cp:lastPrinted>
  <dcterms:created xsi:type="dcterms:W3CDTF">2023-08-25T11:42:00Z</dcterms:created>
  <dcterms:modified xsi:type="dcterms:W3CDTF">2023-09-05T13:10:00Z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0x01010028F9F0B210789741A391DBE803707137</vt:lpwstr>
  </property>
  <property fmtid="{D5CDD505-2E9C-101B-9397-08002B2CF9AE}" pid="3" name="MediaServiceImageTags">
    <vt:lpwstr/>
  </property>
</Properties>
</file>